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AE40A" w14:textId="61FEAE8E" w:rsidR="00C80CF6" w:rsidRPr="008F5B5A" w:rsidRDefault="00C80CF6" w:rsidP="00AE0E1A">
      <w:pPr>
        <w:pStyle w:val="CenteredTextSingleSpace"/>
        <w:spacing w:line="480" w:lineRule="auto"/>
      </w:pPr>
      <w:r w:rsidRPr="008F5B5A">
        <w:t xml:space="preserve">Strategies </w:t>
      </w:r>
      <w:r w:rsidR="00825668">
        <w:t>for</w:t>
      </w:r>
      <w:r w:rsidRPr="008F5B5A">
        <w:t xml:space="preserve"> </w:t>
      </w:r>
      <w:r w:rsidR="00CE4696">
        <w:t>Integrated Primary Care</w:t>
      </w:r>
      <w:r w:rsidRPr="008F5B5A">
        <w:t xml:space="preserve"> </w:t>
      </w:r>
      <w:r w:rsidR="00825668" w:rsidRPr="008F5B5A">
        <w:t>C</w:t>
      </w:r>
      <w:r w:rsidR="00825668">
        <w:t>linics</w:t>
      </w:r>
      <w:r w:rsidR="00825668" w:rsidRPr="008F5B5A">
        <w:t xml:space="preserve"> </w:t>
      </w:r>
      <w:r w:rsidRPr="008F5B5A">
        <w:t xml:space="preserve">to Improve </w:t>
      </w:r>
      <w:r w:rsidR="00825668">
        <w:t xml:space="preserve">Administrative </w:t>
      </w:r>
      <w:r w:rsidR="0064779F">
        <w:t>Costs</w:t>
      </w:r>
      <w:r w:rsidR="00825668">
        <w:t xml:space="preserve"> </w:t>
      </w:r>
      <w:r w:rsidR="002A6CC4">
        <w:t>D</w:t>
      </w:r>
      <w:r w:rsidR="00825668">
        <w:t>ue to</w:t>
      </w:r>
      <w:r w:rsidRPr="008F5B5A">
        <w:t xml:space="preserve"> Medication Nonadherence</w:t>
      </w:r>
    </w:p>
    <w:p w14:paraId="224B1E7D" w14:textId="77777777" w:rsidR="00C80CF6" w:rsidRPr="008F5B5A" w:rsidRDefault="00C80CF6" w:rsidP="00C80CF6">
      <w:pPr>
        <w:pStyle w:val="CenteredTextSingleSpace"/>
        <w:spacing w:line="480" w:lineRule="auto"/>
      </w:pPr>
      <w:r w:rsidRPr="008F5B5A">
        <w:t>by</w:t>
      </w:r>
    </w:p>
    <w:p w14:paraId="36DD667F" w14:textId="77777777" w:rsidR="00C80CF6" w:rsidRPr="008F5B5A" w:rsidRDefault="00C80CF6" w:rsidP="00C80CF6">
      <w:pPr>
        <w:pStyle w:val="CenteredTextSingleSpace"/>
        <w:spacing w:line="480" w:lineRule="auto"/>
        <w:rPr>
          <w:bCs/>
        </w:rPr>
      </w:pPr>
      <w:r w:rsidRPr="008F5B5A">
        <w:rPr>
          <w:bCs/>
        </w:rPr>
        <w:t>Michael Anthony Watkins</w:t>
      </w:r>
    </w:p>
    <w:p w14:paraId="66B1DBBE" w14:textId="77777777" w:rsidR="00C80CF6" w:rsidRDefault="00C80CF6" w:rsidP="00C80CF6">
      <w:pPr>
        <w:pStyle w:val="CenteredTextSingleSpace"/>
        <w:spacing w:line="480" w:lineRule="auto"/>
      </w:pPr>
    </w:p>
    <w:p w14:paraId="5047FE69" w14:textId="77777777" w:rsidR="00C80CF6" w:rsidRPr="008F5B5A" w:rsidRDefault="00C80CF6" w:rsidP="00C80CF6">
      <w:pPr>
        <w:pStyle w:val="CenteredTextSingleSpace"/>
        <w:spacing w:line="480" w:lineRule="auto"/>
      </w:pPr>
    </w:p>
    <w:p w14:paraId="74F7DBAE" w14:textId="77777777" w:rsidR="00C80CF6" w:rsidRPr="008F5B5A" w:rsidRDefault="00C80CF6" w:rsidP="00C80CF6">
      <w:pPr>
        <w:pStyle w:val="CenteredTextSingleSpace"/>
        <w:spacing w:line="480" w:lineRule="auto"/>
      </w:pPr>
      <w:r w:rsidRPr="008F5B5A">
        <w:t xml:space="preserve">MHA, Walden University, </w:t>
      </w:r>
      <w:r>
        <w:t>2022</w:t>
      </w:r>
    </w:p>
    <w:p w14:paraId="63B3A4BC" w14:textId="77777777" w:rsidR="00C80CF6" w:rsidRPr="008F5B5A" w:rsidRDefault="00C80CF6" w:rsidP="00C80CF6">
      <w:pPr>
        <w:pStyle w:val="CenteredTextSingleSpace"/>
        <w:spacing w:line="480" w:lineRule="auto"/>
      </w:pPr>
      <w:r w:rsidRPr="008F5B5A">
        <w:t>BBA, Campbell University</w:t>
      </w:r>
      <w:r>
        <w:t>,</w:t>
      </w:r>
      <w:r w:rsidRPr="008F5B5A">
        <w:t xml:space="preserve"> 2020</w:t>
      </w:r>
    </w:p>
    <w:p w14:paraId="7DC3AA51" w14:textId="77777777" w:rsidR="00C80CF6" w:rsidRPr="008F5B5A" w:rsidRDefault="00C80CF6" w:rsidP="00C80CF6">
      <w:pPr>
        <w:pStyle w:val="CenteredTextSingleSpace"/>
        <w:spacing w:line="480" w:lineRule="auto"/>
      </w:pPr>
      <w:r w:rsidRPr="008F5B5A">
        <w:t>AAS, Wake Technical Community College</w:t>
      </w:r>
      <w:r>
        <w:t>,</w:t>
      </w:r>
      <w:r w:rsidRPr="008F5B5A">
        <w:t xml:space="preserve"> 201</w:t>
      </w:r>
      <w:r>
        <w:t>7</w:t>
      </w:r>
    </w:p>
    <w:p w14:paraId="5669E674" w14:textId="77777777" w:rsidR="00C80CF6" w:rsidRPr="008F5B5A" w:rsidRDefault="00C80CF6" w:rsidP="00C80CF6">
      <w:pPr>
        <w:pStyle w:val="CenteredTextSingleSpace"/>
        <w:spacing w:line="480" w:lineRule="auto"/>
      </w:pPr>
    </w:p>
    <w:p w14:paraId="37BAC1E3" w14:textId="77777777" w:rsidR="00C80CF6" w:rsidRPr="008F5B5A" w:rsidRDefault="00C80CF6" w:rsidP="00C80CF6">
      <w:pPr>
        <w:pStyle w:val="CenteredTextSingleSpace"/>
        <w:spacing w:line="480" w:lineRule="auto"/>
      </w:pPr>
    </w:p>
    <w:p w14:paraId="12AD01D3" w14:textId="77777777" w:rsidR="00C80CF6" w:rsidRPr="008F5B5A" w:rsidRDefault="00C80CF6" w:rsidP="00C80CF6">
      <w:pPr>
        <w:pStyle w:val="CenteredTextSingleSpace"/>
        <w:spacing w:line="480" w:lineRule="auto"/>
      </w:pPr>
      <w:r w:rsidRPr="008F5B5A">
        <w:t>Integrative Review Submitted in Partial Fulfillment</w:t>
      </w:r>
    </w:p>
    <w:p w14:paraId="122BC5C2" w14:textId="77777777" w:rsidR="00C80CF6" w:rsidRPr="008F5B5A" w:rsidRDefault="00C80CF6" w:rsidP="00C80CF6">
      <w:pPr>
        <w:pStyle w:val="CenteredTextSingleSpace"/>
        <w:spacing w:line="480" w:lineRule="auto"/>
      </w:pPr>
      <w:r w:rsidRPr="008F5B5A">
        <w:t>of the Requirements for the Degree of</w:t>
      </w:r>
    </w:p>
    <w:p w14:paraId="344E6F9B" w14:textId="77777777" w:rsidR="00C80CF6" w:rsidRPr="008F5B5A" w:rsidRDefault="00C80CF6" w:rsidP="00C80CF6">
      <w:pPr>
        <w:pStyle w:val="CenteredTextSingleSpace"/>
        <w:spacing w:line="480" w:lineRule="auto"/>
      </w:pPr>
      <w:r w:rsidRPr="008F5B5A">
        <w:t>Doctor of Healthcare Administration</w:t>
      </w:r>
    </w:p>
    <w:p w14:paraId="401C55C4" w14:textId="77777777" w:rsidR="00C80CF6" w:rsidRDefault="00C80CF6" w:rsidP="00C80CF6">
      <w:pPr>
        <w:pStyle w:val="CenteredTextSingleSpace"/>
        <w:spacing w:line="480" w:lineRule="auto"/>
      </w:pPr>
    </w:p>
    <w:p w14:paraId="5D0760E3" w14:textId="77777777" w:rsidR="00193C57" w:rsidRPr="008F5B5A" w:rsidRDefault="00193C57" w:rsidP="00C80CF6">
      <w:pPr>
        <w:pStyle w:val="CenteredTextSingleSpace"/>
        <w:spacing w:line="480" w:lineRule="auto"/>
      </w:pPr>
    </w:p>
    <w:p w14:paraId="1A130C7C" w14:textId="77777777" w:rsidR="00C80CF6" w:rsidRPr="008F5B5A" w:rsidRDefault="00C80CF6" w:rsidP="00C80CF6">
      <w:pPr>
        <w:pStyle w:val="CenteredTextSingleSpace"/>
        <w:spacing w:line="480" w:lineRule="auto"/>
      </w:pPr>
      <w:r w:rsidRPr="008F5B5A">
        <w:t>Walden University</w:t>
      </w:r>
    </w:p>
    <w:p w14:paraId="246B8686" w14:textId="605A71CC" w:rsidR="003630CB" w:rsidRDefault="00676D36" w:rsidP="00C80CF6">
      <w:pPr>
        <w:pStyle w:val="CenteredTextSingleSpace"/>
        <w:spacing w:line="480" w:lineRule="auto"/>
      </w:pPr>
      <w:r>
        <w:t>May</w:t>
      </w:r>
      <w:r w:rsidR="00E95DF1" w:rsidRPr="008F5B5A">
        <w:t xml:space="preserve"> </w:t>
      </w:r>
      <w:r w:rsidR="00C80CF6" w:rsidRPr="008F5B5A">
        <w:t>2026</w:t>
      </w:r>
    </w:p>
    <w:p w14:paraId="08CC80BF" w14:textId="77777777" w:rsidR="003630CB" w:rsidRDefault="003630CB">
      <w:pPr>
        <w:autoSpaceDE/>
        <w:autoSpaceDN/>
        <w:adjustRightInd/>
        <w:snapToGrid/>
      </w:pPr>
      <w:r>
        <w:br w:type="page"/>
      </w:r>
    </w:p>
    <w:p w14:paraId="172C69AE" w14:textId="77777777" w:rsidR="003630CB" w:rsidRPr="00AB6CE7" w:rsidRDefault="003630CB" w:rsidP="003630CB">
      <w:pPr>
        <w:pStyle w:val="APALevel0noTOC"/>
        <w:ind w:left="720" w:hanging="720"/>
      </w:pPr>
      <w:r w:rsidRPr="00AB6CE7">
        <w:lastRenderedPageBreak/>
        <w:t>Abstract</w:t>
      </w:r>
    </w:p>
    <w:p w14:paraId="69B1EF99" w14:textId="34F8E138" w:rsidR="008E04E1" w:rsidRDefault="003630CB" w:rsidP="003630CB">
      <w:pPr>
        <w:autoSpaceDE/>
        <w:autoSpaceDN/>
        <w:adjustRightInd/>
        <w:snapToGrid/>
        <w:spacing w:line="480" w:lineRule="auto"/>
      </w:pPr>
      <w:r>
        <w:t>M</w:t>
      </w:r>
      <w:r w:rsidRPr="00840AAB">
        <w:t xml:space="preserve">edication non-adherence is a pervasive issue </w:t>
      </w:r>
      <w:r>
        <w:t xml:space="preserve">that drives up administrative costs </w:t>
      </w:r>
      <w:r w:rsidRPr="00840AAB">
        <w:t xml:space="preserve">for </w:t>
      </w:r>
      <w:r>
        <w:t>integrated primary care clinics</w:t>
      </w:r>
      <w:r w:rsidRPr="00840AAB">
        <w:t xml:space="preserve">. </w:t>
      </w:r>
      <w:r>
        <w:t>Total administrative costs for medication non-adherence account for one-quarter of U.S. healthcare expenditures. The purpose of this</w:t>
      </w:r>
      <w:r w:rsidRPr="00840AAB">
        <w:t xml:space="preserve"> integrative review </w:t>
      </w:r>
      <w:r>
        <w:t>was</w:t>
      </w:r>
      <w:r w:rsidRPr="00840AAB">
        <w:t xml:space="preserve"> to identify cost-reduction strategies </w:t>
      </w:r>
      <w:r>
        <w:t>that integrated primary care clinic</w:t>
      </w:r>
      <w:r w:rsidRPr="00840AAB">
        <w:t xml:space="preserve"> administrators can implement to offset costs associated with medication nonadherence.</w:t>
      </w:r>
      <w:r>
        <w:t xml:space="preserve"> The theoretical framework for this integrative review was Bertalanffy’s general systems theory. </w:t>
      </w:r>
      <w:r w:rsidRPr="00840AAB">
        <w:t xml:space="preserve">A comprehensive literature search yielded 1,892 potential articles. </w:t>
      </w:r>
      <w:r>
        <w:t xml:space="preserve">A quality analysis using the Johns Hopkins Nursing Evidence-Based Practice Model resulted in 29 sources for thematic analysis. Analysis revealed the following four themes: implementing adherence technology, delivering targeted interventions, strengthening care team coordination, and implementing system-level strategies. Eight subthemes were identified, including Electronic Health Record adoption, enhanced patient relationships, digital interventions, web-based management, economic outcome rates, tailored strategies, prediction models, screening tools, risk intervention trials, and comprehensive strategies. </w:t>
      </w:r>
      <w:commentRangeStart w:id="0"/>
      <w:r>
        <w:t>Final</w:t>
      </w:r>
      <w:commentRangeEnd w:id="0"/>
      <w:r>
        <w:rPr>
          <w:rStyle w:val="CommentReference"/>
          <w:sz w:val="24"/>
          <w:szCs w:val="24"/>
        </w:rPr>
        <w:commentReference w:id="0"/>
      </w:r>
      <w:r>
        <w:t xml:space="preserve"> recommendations are to i</w:t>
      </w:r>
      <w:r w:rsidRPr="001C40D4">
        <w:t>mplement an integrated, technology-enabled medication adherence program that combines EHR monitoring and predictive risk identification</w:t>
      </w:r>
      <w:r>
        <w:t>; d</w:t>
      </w:r>
      <w:r w:rsidRPr="001C40D4">
        <w:t>eliver targeted, patient-specific adherence interventions that address individual barriers such as cost, access, and understanding of medications</w:t>
      </w:r>
      <w:r>
        <w:t>; and e</w:t>
      </w:r>
      <w:r w:rsidRPr="001C40D4">
        <w:t>stablish a coordinated, system-level adherence strategy that integrates interdisciplinary care teams, technology, and continuous performance evaluation.</w:t>
      </w:r>
      <w:r>
        <w:t xml:space="preserve"> </w:t>
      </w:r>
      <w:r w:rsidRPr="00840AAB">
        <w:t xml:space="preserve">Positive social change will result from </w:t>
      </w:r>
      <w:r>
        <w:t xml:space="preserve">the </w:t>
      </w:r>
      <w:r w:rsidRPr="00840AAB">
        <w:t xml:space="preserve">implementation </w:t>
      </w:r>
      <w:r>
        <w:t xml:space="preserve">of these evidence-based </w:t>
      </w:r>
      <w:r w:rsidRPr="00840AAB">
        <w:t>strategies that improve medication nonadherence and yield cost savings for healthier patients.</w:t>
      </w:r>
      <w:r w:rsidR="008E04E1">
        <w:br w:type="page"/>
      </w:r>
    </w:p>
    <w:p w14:paraId="6A41BA7D" w14:textId="77777777" w:rsidR="008E04E1" w:rsidRPr="006F7459" w:rsidRDefault="008E04E1" w:rsidP="00927849">
      <w:pPr>
        <w:pStyle w:val="APALevel0noTOC"/>
      </w:pPr>
      <w:commentRangeStart w:id="1"/>
      <w:r w:rsidRPr="007A184D">
        <w:lastRenderedPageBreak/>
        <w:t>Acknowledgements</w:t>
      </w:r>
      <w:commentRangeEnd w:id="1"/>
      <w:r w:rsidR="00C84F00" w:rsidRPr="006F7459">
        <w:rPr>
          <w:rStyle w:val="CommentReference"/>
          <w:sz w:val="24"/>
          <w:szCs w:val="24"/>
        </w:rPr>
        <w:commentReference w:id="1"/>
      </w:r>
    </w:p>
    <w:p w14:paraId="04B3B693" w14:textId="38747AFF" w:rsidR="008E04E1" w:rsidRPr="00243A7C" w:rsidRDefault="008E04E1" w:rsidP="00BA0348">
      <w:pPr>
        <w:spacing w:line="480" w:lineRule="auto"/>
        <w:ind w:firstLine="720"/>
      </w:pPr>
      <w:r w:rsidRPr="00243A7C">
        <w:t>This doctoral journey would not have been possible, first and foremost, without God Almighty, with whom all things are possible. I am profoundly grateful to the remarkable individuals I have had the privilege of encountering along my journey</w:t>
      </w:r>
      <w:r w:rsidR="0076635F" w:rsidRPr="00243A7C">
        <w:t>.</w:t>
      </w:r>
      <w:r w:rsidR="0076635F">
        <w:t xml:space="preserve"> </w:t>
      </w:r>
    </w:p>
    <w:p w14:paraId="7D6FC6AB" w14:textId="03B9DBBD" w:rsidR="008E04E1" w:rsidRPr="00243A7C" w:rsidRDefault="009E1B2C" w:rsidP="0037722B">
      <w:pPr>
        <w:spacing w:line="480" w:lineRule="auto"/>
      </w:pPr>
      <w:r>
        <w:t>During</w:t>
      </w:r>
      <w:r w:rsidR="008E04E1" w:rsidRPr="00243A7C">
        <w:t xml:space="preserve"> moments of doubt,</w:t>
      </w:r>
      <w:r w:rsidR="00B271FF">
        <w:t xml:space="preserve"> they</w:t>
      </w:r>
      <w:r w:rsidR="008E04E1" w:rsidRPr="00243A7C">
        <w:t xml:space="preserve"> lifted me when I was at my weakest, provided support when it was most needed, and some remained steadfastly by my side throughout the entire process. I shudder to think of the trajectory my life might have taken had our paths not crossed. </w:t>
      </w:r>
    </w:p>
    <w:p w14:paraId="6DCC6F2D" w14:textId="77777777" w:rsidR="008E04E1" w:rsidRDefault="008E04E1" w:rsidP="0037722B">
      <w:pPr>
        <w:spacing w:line="480" w:lineRule="auto"/>
        <w:ind w:firstLine="720"/>
      </w:pPr>
      <w:r w:rsidRPr="00243A7C">
        <w:t>I want to express my sincere gratitude to each of you, both individually and collectively. I will now attempt to acknowledge everyone in chronological order:</w:t>
      </w:r>
    </w:p>
    <w:p w14:paraId="0F6AD2D8" w14:textId="77777777" w:rsidR="00822076" w:rsidRPr="00243A7C" w:rsidRDefault="00822076" w:rsidP="0037722B">
      <w:pPr>
        <w:spacing w:line="480" w:lineRule="auto"/>
        <w:ind w:firstLine="720"/>
      </w:pPr>
    </w:p>
    <w:p w14:paraId="5120E0C3" w14:textId="2A9DC1C5" w:rsidR="008E04E1" w:rsidRPr="00243A7C" w:rsidRDefault="008E04E1" w:rsidP="0037722B">
      <w:pPr>
        <w:spacing w:line="480" w:lineRule="auto"/>
      </w:pPr>
      <w:r w:rsidRPr="00243A7C">
        <w:t>Brenda McLaurin and Sons. (</w:t>
      </w:r>
      <w:r w:rsidRPr="00243A7C">
        <w:rPr>
          <w:i/>
          <w:iCs/>
        </w:rPr>
        <w:t>RIP Larry McLaurin</w:t>
      </w:r>
      <w:r w:rsidRPr="00243A7C">
        <w:t>)</w:t>
      </w:r>
    </w:p>
    <w:p w14:paraId="755B86FB" w14:textId="77777777" w:rsidR="008E04E1" w:rsidRPr="00243A7C" w:rsidRDefault="008E04E1" w:rsidP="0037722B">
      <w:pPr>
        <w:spacing w:line="480" w:lineRule="auto"/>
      </w:pPr>
      <w:r w:rsidRPr="00243A7C">
        <w:t>Mary Boykin and Family</w:t>
      </w:r>
    </w:p>
    <w:p w14:paraId="53564BD6" w14:textId="77777777" w:rsidR="008E04E1" w:rsidRPr="00243A7C" w:rsidRDefault="008E04E1" w:rsidP="0037722B">
      <w:pPr>
        <w:spacing w:line="480" w:lineRule="auto"/>
      </w:pPr>
      <w:r w:rsidRPr="00243A7C">
        <w:t>Fannie Draughon and Family</w:t>
      </w:r>
    </w:p>
    <w:p w14:paraId="30A825F0" w14:textId="77777777" w:rsidR="008E04E1" w:rsidRPr="00243A7C" w:rsidRDefault="008E04E1" w:rsidP="0037722B">
      <w:pPr>
        <w:spacing w:line="480" w:lineRule="auto"/>
      </w:pPr>
      <w:r w:rsidRPr="00243A7C">
        <w:t>Robert Hobbs</w:t>
      </w:r>
    </w:p>
    <w:p w14:paraId="3DC42FD2" w14:textId="77777777" w:rsidR="008E04E1" w:rsidRPr="00243A7C" w:rsidRDefault="008E04E1" w:rsidP="0037722B">
      <w:pPr>
        <w:spacing w:line="480" w:lineRule="auto"/>
      </w:pPr>
      <w:r w:rsidRPr="00243A7C">
        <w:t>Ernestine Wilson</w:t>
      </w:r>
    </w:p>
    <w:p w14:paraId="2A6B57A5" w14:textId="77777777" w:rsidR="008E04E1" w:rsidRPr="00243A7C" w:rsidRDefault="008E04E1" w:rsidP="0037722B">
      <w:pPr>
        <w:spacing w:line="480" w:lineRule="auto"/>
      </w:pPr>
      <w:r w:rsidRPr="00243A7C">
        <w:t>Ms. Bertha Wilson</w:t>
      </w:r>
    </w:p>
    <w:p w14:paraId="730E0BF0" w14:textId="77777777" w:rsidR="008E04E1" w:rsidRPr="00243A7C" w:rsidRDefault="008E04E1" w:rsidP="0037722B">
      <w:pPr>
        <w:spacing w:line="480" w:lineRule="auto"/>
      </w:pPr>
      <w:r w:rsidRPr="00243A7C">
        <w:t>Ms. Mattie Murphy (</w:t>
      </w:r>
      <w:r w:rsidRPr="00243A7C">
        <w:rPr>
          <w:i/>
          <w:iCs/>
        </w:rPr>
        <w:t>RIP</w:t>
      </w:r>
      <w:r w:rsidRPr="00243A7C">
        <w:t>)</w:t>
      </w:r>
    </w:p>
    <w:p w14:paraId="7CECDC76" w14:textId="77777777" w:rsidR="008E04E1" w:rsidRPr="00243A7C" w:rsidRDefault="008E04E1" w:rsidP="0037722B">
      <w:pPr>
        <w:spacing w:line="480" w:lineRule="auto"/>
      </w:pPr>
      <w:r w:rsidRPr="00243A7C">
        <w:t>Tenita Murphy</w:t>
      </w:r>
    </w:p>
    <w:p w14:paraId="25D298D3" w14:textId="77777777" w:rsidR="008E04E1" w:rsidRPr="00243A7C" w:rsidRDefault="008E04E1" w:rsidP="0037722B">
      <w:pPr>
        <w:spacing w:line="480" w:lineRule="auto"/>
      </w:pPr>
      <w:r w:rsidRPr="00243A7C">
        <w:t>Michael Phillips of Men at Work Car Care Center</w:t>
      </w:r>
    </w:p>
    <w:p w14:paraId="1B3D972B" w14:textId="77777777" w:rsidR="008E04E1" w:rsidRPr="00243A7C" w:rsidRDefault="008E04E1" w:rsidP="0037722B">
      <w:pPr>
        <w:spacing w:line="480" w:lineRule="auto"/>
      </w:pPr>
      <w:r w:rsidRPr="00243A7C">
        <w:t>Sylvia Wiggins, volunteers, and staff of The Helping Hand Mission</w:t>
      </w:r>
    </w:p>
    <w:p w14:paraId="24DD0F29" w14:textId="77777777" w:rsidR="008E04E1" w:rsidRPr="00243A7C" w:rsidRDefault="008E04E1" w:rsidP="0037722B">
      <w:pPr>
        <w:spacing w:line="480" w:lineRule="auto"/>
      </w:pPr>
      <w:r w:rsidRPr="00243A7C">
        <w:t>Raleigh Rescue Mission</w:t>
      </w:r>
    </w:p>
    <w:p w14:paraId="4F9B56C2" w14:textId="77777777" w:rsidR="008E04E1" w:rsidRPr="00243A7C" w:rsidRDefault="008E04E1" w:rsidP="0037722B">
      <w:pPr>
        <w:spacing w:line="480" w:lineRule="auto"/>
      </w:pPr>
      <w:r w:rsidRPr="00243A7C">
        <w:t>Rick Fitzgerald</w:t>
      </w:r>
    </w:p>
    <w:p w14:paraId="155C3987" w14:textId="77777777" w:rsidR="008E04E1" w:rsidRPr="00243A7C" w:rsidRDefault="008E04E1" w:rsidP="0037722B">
      <w:pPr>
        <w:spacing w:line="480" w:lineRule="auto"/>
      </w:pPr>
      <w:r w:rsidRPr="00243A7C">
        <w:lastRenderedPageBreak/>
        <w:t>Urban Ministries of Raleigh</w:t>
      </w:r>
    </w:p>
    <w:p w14:paraId="0E17BCD9" w14:textId="77777777" w:rsidR="008E04E1" w:rsidRPr="00243A7C" w:rsidRDefault="008E04E1" w:rsidP="0037722B">
      <w:pPr>
        <w:spacing w:line="480" w:lineRule="auto"/>
      </w:pPr>
      <w:r w:rsidRPr="00243A7C">
        <w:t>Susie Mallard Barnes</w:t>
      </w:r>
    </w:p>
    <w:p w14:paraId="3FB48B47" w14:textId="77777777" w:rsidR="008E04E1" w:rsidRPr="00243A7C" w:rsidRDefault="008E04E1" w:rsidP="0037722B">
      <w:pPr>
        <w:spacing w:line="480" w:lineRule="auto"/>
      </w:pPr>
      <w:r w:rsidRPr="00243A7C">
        <w:t>Cary Church of God</w:t>
      </w:r>
    </w:p>
    <w:p w14:paraId="0C4FF059" w14:textId="77777777" w:rsidR="008E04E1" w:rsidRPr="00243A7C" w:rsidRDefault="008E04E1" w:rsidP="0037722B">
      <w:pPr>
        <w:spacing w:line="480" w:lineRule="auto"/>
      </w:pPr>
      <w:r w:rsidRPr="00243A7C">
        <w:t>GCF Learning Foundation</w:t>
      </w:r>
    </w:p>
    <w:p w14:paraId="71C439BB" w14:textId="77777777" w:rsidR="008E04E1" w:rsidRPr="00243A7C" w:rsidRDefault="008E04E1" w:rsidP="0037722B">
      <w:pPr>
        <w:spacing w:line="480" w:lineRule="auto"/>
      </w:pPr>
      <w:r w:rsidRPr="00243A7C">
        <w:t>Staff and volunteers of the Church of the Good Shepherd</w:t>
      </w:r>
    </w:p>
    <w:p w14:paraId="0FE7AC01" w14:textId="77777777" w:rsidR="008E04E1" w:rsidRPr="00243A7C" w:rsidRDefault="008E04E1" w:rsidP="0037722B">
      <w:pPr>
        <w:spacing w:line="480" w:lineRule="auto"/>
      </w:pPr>
      <w:r w:rsidRPr="00243A7C">
        <w:t>Edenton Street United Methodist Church</w:t>
      </w:r>
    </w:p>
    <w:p w14:paraId="45BE5996" w14:textId="77777777" w:rsidR="008E04E1" w:rsidRPr="00243A7C" w:rsidRDefault="008E04E1" w:rsidP="0037722B">
      <w:pPr>
        <w:spacing w:line="480" w:lineRule="auto"/>
      </w:pPr>
      <w:r w:rsidRPr="00243A7C">
        <w:t>First Baptist Church, Salisbury Street</w:t>
      </w:r>
    </w:p>
    <w:p w14:paraId="327FA450" w14:textId="77777777" w:rsidR="008E04E1" w:rsidRPr="00243A7C" w:rsidRDefault="008E04E1" w:rsidP="0037722B">
      <w:pPr>
        <w:spacing w:line="480" w:lineRule="auto"/>
      </w:pPr>
      <w:r w:rsidRPr="00243A7C">
        <w:t>First Baptist Church, Wilmington Street</w:t>
      </w:r>
    </w:p>
    <w:p w14:paraId="65CF5C37" w14:textId="77777777" w:rsidR="008E04E1" w:rsidRPr="00243A7C" w:rsidRDefault="008E04E1" w:rsidP="0037722B">
      <w:pPr>
        <w:spacing w:line="480" w:lineRule="auto"/>
      </w:pPr>
      <w:r w:rsidRPr="00243A7C">
        <w:t>Tupper Memorial Baptist Church</w:t>
      </w:r>
    </w:p>
    <w:p w14:paraId="5F118AF0" w14:textId="77777777" w:rsidR="008E04E1" w:rsidRPr="00243A7C" w:rsidRDefault="008E04E1" w:rsidP="0037722B">
      <w:pPr>
        <w:spacing w:line="480" w:lineRule="auto"/>
      </w:pPr>
      <w:r w:rsidRPr="00243A7C">
        <w:t>Elevation Baptist Church</w:t>
      </w:r>
    </w:p>
    <w:p w14:paraId="3F0BF4AD" w14:textId="77777777" w:rsidR="008E04E1" w:rsidRPr="00243A7C" w:rsidRDefault="008E04E1" w:rsidP="0037722B">
      <w:pPr>
        <w:spacing w:line="480" w:lineRule="auto"/>
      </w:pPr>
      <w:r w:rsidRPr="00243A7C">
        <w:t>Rush Metropolitan Church</w:t>
      </w:r>
    </w:p>
    <w:p w14:paraId="48B6625F" w14:textId="77777777" w:rsidR="008E04E1" w:rsidRPr="00243A7C" w:rsidRDefault="008E04E1" w:rsidP="0037722B">
      <w:pPr>
        <w:spacing w:line="480" w:lineRule="auto"/>
      </w:pPr>
      <w:r w:rsidRPr="00243A7C">
        <w:t>Revelation Missionary Baptist Church</w:t>
      </w:r>
    </w:p>
    <w:p w14:paraId="17E8A1F8" w14:textId="77777777" w:rsidR="008E04E1" w:rsidRPr="00243A7C" w:rsidRDefault="008E04E1" w:rsidP="0037722B">
      <w:pPr>
        <w:spacing w:line="480" w:lineRule="auto"/>
      </w:pPr>
      <w:r w:rsidRPr="00243A7C">
        <w:t>Saint Matthew's Missionary Baptist Church</w:t>
      </w:r>
    </w:p>
    <w:p w14:paraId="529A5732" w14:textId="77777777" w:rsidR="008E04E1" w:rsidRPr="00243A7C" w:rsidRDefault="008E04E1" w:rsidP="0037722B">
      <w:pPr>
        <w:spacing w:line="480" w:lineRule="auto"/>
      </w:pPr>
      <w:r w:rsidRPr="00243A7C">
        <w:t>Wake Chapel Baptist Church</w:t>
      </w:r>
    </w:p>
    <w:p w14:paraId="06100A89" w14:textId="77777777" w:rsidR="008E04E1" w:rsidRPr="00243A7C" w:rsidRDefault="008E04E1" w:rsidP="0037722B">
      <w:pPr>
        <w:spacing w:line="480" w:lineRule="auto"/>
      </w:pPr>
      <w:r w:rsidRPr="00243A7C">
        <w:t>Wake County Board of Commissioners</w:t>
      </w:r>
    </w:p>
    <w:p w14:paraId="3070D66E" w14:textId="77777777" w:rsidR="008E04E1" w:rsidRPr="00243A7C" w:rsidRDefault="008E04E1" w:rsidP="0037722B">
      <w:pPr>
        <w:spacing w:line="480" w:lineRule="auto"/>
      </w:pPr>
      <w:r w:rsidRPr="00243A7C">
        <w:t xml:space="preserve">Wake County Human Services </w:t>
      </w:r>
    </w:p>
    <w:p w14:paraId="73DEF753" w14:textId="4F5586CE" w:rsidR="008E04E1" w:rsidRPr="00243A7C" w:rsidRDefault="008E04E1" w:rsidP="0037722B">
      <w:pPr>
        <w:spacing w:line="480" w:lineRule="auto"/>
      </w:pPr>
      <w:r w:rsidRPr="00243A7C">
        <w:t>Wake County Human Services Cornerstone</w:t>
      </w:r>
      <w:r>
        <w:t xml:space="preserve">, and </w:t>
      </w:r>
      <w:r w:rsidR="00375274">
        <w:t xml:space="preserve">a </w:t>
      </w:r>
      <w:r>
        <w:t>former security guard, Hassan</w:t>
      </w:r>
    </w:p>
    <w:p w14:paraId="4BC3224A" w14:textId="77777777" w:rsidR="008E04E1" w:rsidRPr="00243A7C" w:rsidRDefault="008E04E1" w:rsidP="0037722B">
      <w:pPr>
        <w:spacing w:line="480" w:lineRule="auto"/>
      </w:pPr>
      <w:r w:rsidRPr="00243A7C">
        <w:t>Wake County Public Safety Building</w:t>
      </w:r>
    </w:p>
    <w:p w14:paraId="18074388" w14:textId="77777777" w:rsidR="008E04E1" w:rsidRPr="00243A7C" w:rsidRDefault="008E04E1" w:rsidP="0037722B">
      <w:pPr>
        <w:spacing w:line="480" w:lineRule="auto"/>
      </w:pPr>
      <w:r w:rsidRPr="00243A7C">
        <w:t>Sharon Mitchell</w:t>
      </w:r>
    </w:p>
    <w:p w14:paraId="69B6794B" w14:textId="77777777" w:rsidR="008E04E1" w:rsidRPr="00243A7C" w:rsidRDefault="008E04E1" w:rsidP="0037722B">
      <w:pPr>
        <w:spacing w:line="480" w:lineRule="auto"/>
      </w:pPr>
      <w:r w:rsidRPr="00243A7C">
        <w:t>Johnny Mitchell</w:t>
      </w:r>
    </w:p>
    <w:p w14:paraId="185817A0" w14:textId="77777777" w:rsidR="008E04E1" w:rsidRDefault="008E04E1" w:rsidP="0037722B">
      <w:pPr>
        <w:spacing w:line="480" w:lineRule="auto"/>
      </w:pPr>
      <w:r w:rsidRPr="00243A7C">
        <w:t>Kay Wiles</w:t>
      </w:r>
    </w:p>
    <w:p w14:paraId="068F25C0" w14:textId="77777777" w:rsidR="008E04E1" w:rsidRPr="00243A7C" w:rsidRDefault="008E04E1" w:rsidP="0037722B">
      <w:pPr>
        <w:spacing w:line="480" w:lineRule="auto"/>
      </w:pPr>
      <w:r w:rsidRPr="00243A7C">
        <w:t>Greg Warren, retired, DHIC</w:t>
      </w:r>
    </w:p>
    <w:p w14:paraId="3CA7FB4F" w14:textId="77777777" w:rsidR="008E04E1" w:rsidRPr="00243A7C" w:rsidRDefault="008E04E1" w:rsidP="0037722B">
      <w:pPr>
        <w:spacing w:line="480" w:lineRule="auto"/>
      </w:pPr>
      <w:r w:rsidRPr="00243A7C">
        <w:t>Wake County Supportive Housing</w:t>
      </w:r>
    </w:p>
    <w:p w14:paraId="1360E742" w14:textId="77777777" w:rsidR="008E04E1" w:rsidRDefault="008E04E1" w:rsidP="0037722B">
      <w:pPr>
        <w:spacing w:line="480" w:lineRule="auto"/>
      </w:pPr>
      <w:r w:rsidRPr="00243A7C">
        <w:lastRenderedPageBreak/>
        <w:t>Horizon Healthcare for the Homeless</w:t>
      </w:r>
    </w:p>
    <w:p w14:paraId="0794957D" w14:textId="77777777" w:rsidR="008E04E1" w:rsidRPr="00243A7C" w:rsidRDefault="008E04E1" w:rsidP="0037722B">
      <w:pPr>
        <w:spacing w:line="480" w:lineRule="auto"/>
      </w:pPr>
      <w:r>
        <w:t>Michael Bacon</w:t>
      </w:r>
    </w:p>
    <w:p w14:paraId="6A378CF6" w14:textId="77777777" w:rsidR="008E04E1" w:rsidRPr="00243A7C" w:rsidRDefault="008E04E1" w:rsidP="0037722B">
      <w:pPr>
        <w:spacing w:line="480" w:lineRule="auto"/>
      </w:pPr>
      <w:r w:rsidRPr="00243A7C">
        <w:t>Scott Oates</w:t>
      </w:r>
    </w:p>
    <w:p w14:paraId="7027AE2E" w14:textId="77777777" w:rsidR="008E04E1" w:rsidRPr="00243A7C" w:rsidRDefault="008E04E1" w:rsidP="0037722B">
      <w:pPr>
        <w:spacing w:line="480" w:lineRule="auto"/>
      </w:pPr>
      <w:r w:rsidRPr="00243A7C">
        <w:t xml:space="preserve">Dan Brewer </w:t>
      </w:r>
    </w:p>
    <w:p w14:paraId="3D51FB5E" w14:textId="77777777" w:rsidR="008E04E1" w:rsidRPr="00243A7C" w:rsidRDefault="008E04E1" w:rsidP="0037722B">
      <w:pPr>
        <w:spacing w:line="480" w:lineRule="auto"/>
      </w:pPr>
      <w:r w:rsidRPr="00243A7C">
        <w:t>Elaine Brewer</w:t>
      </w:r>
    </w:p>
    <w:p w14:paraId="0D252B47" w14:textId="77777777" w:rsidR="008E04E1" w:rsidRPr="00243A7C" w:rsidRDefault="008E04E1" w:rsidP="0037722B">
      <w:pPr>
        <w:spacing w:line="480" w:lineRule="auto"/>
      </w:pPr>
      <w:r w:rsidRPr="00243A7C">
        <w:t>Scott Brewer</w:t>
      </w:r>
    </w:p>
    <w:p w14:paraId="65FA0C5F" w14:textId="77777777" w:rsidR="008E04E1" w:rsidRPr="00243A7C" w:rsidRDefault="008E04E1" w:rsidP="0037722B">
      <w:pPr>
        <w:spacing w:line="480" w:lineRule="auto"/>
      </w:pPr>
      <w:r w:rsidRPr="00243A7C">
        <w:t>Tim Brewer</w:t>
      </w:r>
    </w:p>
    <w:p w14:paraId="44B98096" w14:textId="77777777" w:rsidR="008E04E1" w:rsidRPr="00243A7C" w:rsidRDefault="008E04E1" w:rsidP="0037722B">
      <w:pPr>
        <w:spacing w:line="480" w:lineRule="auto"/>
      </w:pPr>
      <w:r w:rsidRPr="00243A7C">
        <w:t>Karyn Thomas and the family of RTN, formerly CTV: Big Ed, Shaun, Carlos, John, Debbie, Chasity, Jason, and (</w:t>
      </w:r>
      <w:r w:rsidRPr="00243A7C">
        <w:rPr>
          <w:i/>
          <w:iCs/>
        </w:rPr>
        <w:t>RIP)</w:t>
      </w:r>
      <w:r w:rsidRPr="00243A7C">
        <w:t xml:space="preserve"> Dan.</w:t>
      </w:r>
    </w:p>
    <w:p w14:paraId="1B86DFCC" w14:textId="77777777" w:rsidR="008E04E1" w:rsidRPr="00243A7C" w:rsidRDefault="008E04E1" w:rsidP="0037722B">
      <w:pPr>
        <w:spacing w:line="480" w:lineRule="auto"/>
      </w:pPr>
      <w:r w:rsidRPr="00243A7C">
        <w:t>City of Raleigh</w:t>
      </w:r>
    </w:p>
    <w:p w14:paraId="20445EC4" w14:textId="77777777" w:rsidR="008E04E1" w:rsidRPr="00243A7C" w:rsidRDefault="008E04E1" w:rsidP="0037722B">
      <w:pPr>
        <w:spacing w:line="480" w:lineRule="auto"/>
      </w:pPr>
      <w:r w:rsidRPr="00243A7C">
        <w:t>Ken Maness</w:t>
      </w:r>
    </w:p>
    <w:p w14:paraId="79F44DE1" w14:textId="77777777" w:rsidR="008E04E1" w:rsidRPr="00243A7C" w:rsidRDefault="008E04E1" w:rsidP="0037722B">
      <w:pPr>
        <w:spacing w:line="480" w:lineRule="auto"/>
      </w:pPr>
      <w:r w:rsidRPr="00243A7C">
        <w:t>Mayor Janet Cowell</w:t>
      </w:r>
    </w:p>
    <w:p w14:paraId="2C5CB849" w14:textId="77777777" w:rsidR="008E04E1" w:rsidRPr="00243A7C" w:rsidRDefault="008E04E1" w:rsidP="0037722B">
      <w:pPr>
        <w:spacing w:line="480" w:lineRule="auto"/>
      </w:pPr>
      <w:r w:rsidRPr="00243A7C">
        <w:t>Renee McKoy</w:t>
      </w:r>
    </w:p>
    <w:p w14:paraId="7C16929F" w14:textId="77777777" w:rsidR="008E04E1" w:rsidRPr="00243A7C" w:rsidRDefault="008E04E1" w:rsidP="0037722B">
      <w:pPr>
        <w:spacing w:line="480" w:lineRule="auto"/>
      </w:pPr>
      <w:r w:rsidRPr="00243A7C">
        <w:t>Anthony Wilson, formerly of ABC 11</w:t>
      </w:r>
    </w:p>
    <w:p w14:paraId="0903D041" w14:textId="77777777" w:rsidR="008E04E1" w:rsidRPr="00243A7C" w:rsidRDefault="008E04E1" w:rsidP="0037722B">
      <w:pPr>
        <w:spacing w:line="480" w:lineRule="auto"/>
      </w:pPr>
      <w:r w:rsidRPr="00243A7C">
        <w:t>Barbara Gibbs, News Anchor, ABC 11</w:t>
      </w:r>
    </w:p>
    <w:p w14:paraId="72591611" w14:textId="77777777" w:rsidR="008E04E1" w:rsidRPr="00243A7C" w:rsidRDefault="008E04E1" w:rsidP="0037722B">
      <w:pPr>
        <w:spacing w:line="480" w:lineRule="auto"/>
      </w:pPr>
      <w:r w:rsidRPr="00243A7C">
        <w:t>Cameron Village Library</w:t>
      </w:r>
    </w:p>
    <w:p w14:paraId="5EB07CD1" w14:textId="77777777" w:rsidR="008E04E1" w:rsidRPr="00243A7C" w:rsidRDefault="008E04E1" w:rsidP="0037722B">
      <w:pPr>
        <w:spacing w:line="480" w:lineRule="auto"/>
      </w:pPr>
      <w:r w:rsidRPr="00243A7C">
        <w:t>Express Library Fayetteville Street</w:t>
      </w:r>
    </w:p>
    <w:p w14:paraId="33B13478" w14:textId="77777777" w:rsidR="008E04E1" w:rsidRPr="00243A7C" w:rsidRDefault="008E04E1" w:rsidP="0037722B">
      <w:pPr>
        <w:spacing w:line="480" w:lineRule="auto"/>
      </w:pPr>
      <w:r w:rsidRPr="00243A7C">
        <w:t>Richard B. Harrison Library</w:t>
      </w:r>
    </w:p>
    <w:p w14:paraId="3036B191" w14:textId="77777777" w:rsidR="008E04E1" w:rsidRPr="00243A7C" w:rsidRDefault="008E04E1" w:rsidP="0037722B">
      <w:pPr>
        <w:spacing w:line="480" w:lineRule="auto"/>
      </w:pPr>
      <w:r w:rsidRPr="00243A7C">
        <w:t>Cheryl Dumpson</w:t>
      </w:r>
    </w:p>
    <w:p w14:paraId="3D46D693" w14:textId="77777777" w:rsidR="008E04E1" w:rsidRPr="00243A7C" w:rsidRDefault="008E04E1" w:rsidP="0037722B">
      <w:pPr>
        <w:spacing w:line="480" w:lineRule="auto"/>
      </w:pPr>
      <w:r w:rsidRPr="00243A7C">
        <w:t>Melissa Hartzell</w:t>
      </w:r>
    </w:p>
    <w:p w14:paraId="1A9D30FA" w14:textId="0FC8767C" w:rsidR="00EA0C02" w:rsidRDefault="008E04E1" w:rsidP="0037722B">
      <w:pPr>
        <w:spacing w:line="480" w:lineRule="auto"/>
      </w:pPr>
      <w:r w:rsidRPr="00243A7C">
        <w:t>Tammy Giglio</w:t>
      </w:r>
      <w:r w:rsidR="00232FB5">
        <w:t xml:space="preserve">, </w:t>
      </w:r>
      <w:r w:rsidR="00650EAA">
        <w:t>amazing staff and volunteers of the Triangle Area Chapter of the American Red Cross</w:t>
      </w:r>
    </w:p>
    <w:p w14:paraId="384DAD7A" w14:textId="42A6F8A2" w:rsidR="008E04E1" w:rsidRPr="00243A7C" w:rsidRDefault="008E04E1" w:rsidP="0037722B">
      <w:pPr>
        <w:spacing w:line="480" w:lineRule="auto"/>
      </w:pPr>
      <w:r>
        <w:t xml:space="preserve">Ricky Caldwell </w:t>
      </w:r>
    </w:p>
    <w:p w14:paraId="17050594" w14:textId="77777777" w:rsidR="008E04E1" w:rsidRPr="00243A7C" w:rsidRDefault="008E04E1" w:rsidP="0037722B">
      <w:pPr>
        <w:tabs>
          <w:tab w:val="left" w:pos="5468"/>
        </w:tabs>
        <w:spacing w:line="480" w:lineRule="auto"/>
      </w:pPr>
      <w:r w:rsidRPr="00243A7C">
        <w:lastRenderedPageBreak/>
        <w:t>Porter Bell</w:t>
      </w:r>
    </w:p>
    <w:p w14:paraId="36B3B397" w14:textId="77777777" w:rsidR="008E04E1" w:rsidRPr="00243A7C" w:rsidRDefault="008E04E1" w:rsidP="0037722B">
      <w:pPr>
        <w:spacing w:line="480" w:lineRule="auto"/>
      </w:pPr>
      <w:r w:rsidRPr="00243A7C">
        <w:t>Mary Hamrick</w:t>
      </w:r>
    </w:p>
    <w:p w14:paraId="26FD83DF" w14:textId="77777777" w:rsidR="008E04E1" w:rsidRPr="00243A7C" w:rsidRDefault="008E04E1" w:rsidP="0037722B">
      <w:pPr>
        <w:spacing w:line="480" w:lineRule="auto"/>
      </w:pPr>
      <w:r w:rsidRPr="00243A7C">
        <w:t>Chris Waluk</w:t>
      </w:r>
    </w:p>
    <w:p w14:paraId="66B8B795" w14:textId="77777777" w:rsidR="008E04E1" w:rsidRPr="00243A7C" w:rsidRDefault="008E04E1" w:rsidP="0037722B">
      <w:pPr>
        <w:spacing w:line="480" w:lineRule="auto"/>
      </w:pPr>
      <w:r w:rsidRPr="00243A7C">
        <w:t>Stephanie Whitlark-Waluk</w:t>
      </w:r>
    </w:p>
    <w:p w14:paraId="5767CA76" w14:textId="77777777" w:rsidR="008E04E1" w:rsidRPr="00243A7C" w:rsidRDefault="008E04E1" w:rsidP="0037722B">
      <w:pPr>
        <w:spacing w:line="480" w:lineRule="auto"/>
      </w:pPr>
      <w:r w:rsidRPr="00243A7C">
        <w:t>Michael Whitlark</w:t>
      </w:r>
    </w:p>
    <w:p w14:paraId="43CEE9F5" w14:textId="77777777" w:rsidR="008E04E1" w:rsidRPr="00243A7C" w:rsidRDefault="008E04E1" w:rsidP="0037722B">
      <w:pPr>
        <w:spacing w:line="480" w:lineRule="auto"/>
      </w:pPr>
      <w:r w:rsidRPr="00243A7C">
        <w:t>Julie Anne McKinney</w:t>
      </w:r>
    </w:p>
    <w:p w14:paraId="73F234B7" w14:textId="77777777" w:rsidR="008E04E1" w:rsidRPr="00243A7C" w:rsidRDefault="008E04E1" w:rsidP="0037722B">
      <w:pPr>
        <w:spacing w:line="480" w:lineRule="auto"/>
      </w:pPr>
      <w:r w:rsidRPr="00243A7C">
        <w:t>Laura Langham</w:t>
      </w:r>
    </w:p>
    <w:p w14:paraId="2DDD5315" w14:textId="77777777" w:rsidR="008E04E1" w:rsidRPr="00243A7C" w:rsidRDefault="008E04E1" w:rsidP="0037722B">
      <w:pPr>
        <w:spacing w:line="480" w:lineRule="auto"/>
      </w:pPr>
      <w:r w:rsidRPr="00243A7C">
        <w:t>Amber Smith, of Activate Good</w:t>
      </w:r>
    </w:p>
    <w:p w14:paraId="1EC9172F" w14:textId="77777777" w:rsidR="008E04E1" w:rsidRPr="00243A7C" w:rsidRDefault="008E04E1" w:rsidP="0037722B">
      <w:pPr>
        <w:spacing w:line="480" w:lineRule="auto"/>
      </w:pPr>
      <w:r w:rsidRPr="00243A7C">
        <w:t>Heather Leah, of WRAL TV5</w:t>
      </w:r>
    </w:p>
    <w:p w14:paraId="238B35A6" w14:textId="77777777" w:rsidR="008E04E1" w:rsidRPr="00243A7C" w:rsidRDefault="008E04E1" w:rsidP="0037722B">
      <w:pPr>
        <w:spacing w:line="480" w:lineRule="auto"/>
      </w:pPr>
      <w:r w:rsidRPr="00243A7C">
        <w:t>Michael Coutouzis</w:t>
      </w:r>
    </w:p>
    <w:p w14:paraId="2E95F766" w14:textId="77777777" w:rsidR="008E04E1" w:rsidRPr="00243A7C" w:rsidRDefault="008E04E1" w:rsidP="0037722B">
      <w:pPr>
        <w:spacing w:line="480" w:lineRule="auto"/>
      </w:pPr>
      <w:r w:rsidRPr="00243A7C">
        <w:t>Chuck Hester</w:t>
      </w:r>
    </w:p>
    <w:p w14:paraId="4A40D294" w14:textId="77777777" w:rsidR="008E04E1" w:rsidRPr="00243A7C" w:rsidRDefault="008E04E1" w:rsidP="0037722B">
      <w:pPr>
        <w:spacing w:line="480" w:lineRule="auto"/>
      </w:pPr>
      <w:r w:rsidRPr="00243A7C">
        <w:t>Stephanie Durbin</w:t>
      </w:r>
    </w:p>
    <w:p w14:paraId="33DB5F64" w14:textId="77777777" w:rsidR="008E04E1" w:rsidRPr="00243A7C" w:rsidRDefault="008E04E1" w:rsidP="0037722B">
      <w:pPr>
        <w:spacing w:line="480" w:lineRule="auto"/>
      </w:pPr>
      <w:r w:rsidRPr="00243A7C">
        <w:t>Britini Hester</w:t>
      </w:r>
    </w:p>
    <w:p w14:paraId="01E76130" w14:textId="77777777" w:rsidR="008E04E1" w:rsidRPr="00243A7C" w:rsidRDefault="008E04E1" w:rsidP="0037722B">
      <w:pPr>
        <w:spacing w:line="480" w:lineRule="auto"/>
      </w:pPr>
      <w:r w:rsidRPr="00243A7C">
        <w:t>Dan Nelson</w:t>
      </w:r>
    </w:p>
    <w:p w14:paraId="24882A75" w14:textId="77777777" w:rsidR="008E04E1" w:rsidRPr="00243A7C" w:rsidRDefault="008E04E1" w:rsidP="0037722B">
      <w:pPr>
        <w:spacing w:line="480" w:lineRule="auto"/>
      </w:pPr>
      <w:r w:rsidRPr="00243A7C">
        <w:t>Sommer Wisher</w:t>
      </w:r>
    </w:p>
    <w:p w14:paraId="16D190F1" w14:textId="77777777" w:rsidR="008E04E1" w:rsidRPr="00243A7C" w:rsidRDefault="008E04E1" w:rsidP="0037722B">
      <w:pPr>
        <w:spacing w:line="480" w:lineRule="auto"/>
      </w:pPr>
      <w:r w:rsidRPr="00243A7C">
        <w:t>Emily Grey</w:t>
      </w:r>
    </w:p>
    <w:p w14:paraId="00B22E25" w14:textId="77777777" w:rsidR="008E04E1" w:rsidRPr="00243A7C" w:rsidRDefault="008E04E1" w:rsidP="0037722B">
      <w:pPr>
        <w:spacing w:line="480" w:lineRule="auto"/>
      </w:pPr>
      <w:r w:rsidRPr="00243A7C">
        <w:t>Ricky Caldwell</w:t>
      </w:r>
    </w:p>
    <w:p w14:paraId="4EA0E495" w14:textId="77777777" w:rsidR="008E04E1" w:rsidRPr="00243A7C" w:rsidRDefault="008E04E1" w:rsidP="0037722B">
      <w:pPr>
        <w:spacing w:line="480" w:lineRule="auto"/>
      </w:pPr>
      <w:r w:rsidRPr="00243A7C">
        <w:t>Clint White</w:t>
      </w:r>
      <w:r>
        <w:t xml:space="preserve"> (</w:t>
      </w:r>
      <w:r w:rsidRPr="00EA114E">
        <w:rPr>
          <w:i/>
          <w:iCs/>
        </w:rPr>
        <w:t>RIP)</w:t>
      </w:r>
    </w:p>
    <w:p w14:paraId="0D6E093E" w14:textId="77777777" w:rsidR="008E04E1" w:rsidRPr="00243A7C" w:rsidRDefault="008E04E1" w:rsidP="0037722B">
      <w:pPr>
        <w:spacing w:line="480" w:lineRule="auto"/>
      </w:pPr>
      <w:r w:rsidRPr="00243A7C">
        <w:t>Bob Geary</w:t>
      </w:r>
    </w:p>
    <w:p w14:paraId="516537AF" w14:textId="77777777" w:rsidR="008E04E1" w:rsidRPr="00243A7C" w:rsidRDefault="008E04E1" w:rsidP="0037722B">
      <w:pPr>
        <w:spacing w:line="480" w:lineRule="auto"/>
      </w:pPr>
      <w:r w:rsidRPr="00243A7C">
        <w:t>Felecia Gressette</w:t>
      </w:r>
    </w:p>
    <w:p w14:paraId="33161C33" w14:textId="77777777" w:rsidR="008E04E1" w:rsidRPr="00243A7C" w:rsidRDefault="008E04E1" w:rsidP="0037722B">
      <w:pPr>
        <w:spacing w:line="480" w:lineRule="auto"/>
      </w:pPr>
      <w:r w:rsidRPr="00243A7C">
        <w:t>Ron Speller</w:t>
      </w:r>
    </w:p>
    <w:p w14:paraId="7244B262" w14:textId="77777777" w:rsidR="008E04E1" w:rsidRPr="00243A7C" w:rsidRDefault="008E04E1" w:rsidP="0037722B">
      <w:pPr>
        <w:spacing w:line="480" w:lineRule="auto"/>
      </w:pPr>
      <w:r w:rsidRPr="00243A7C">
        <w:t>Thomas Glover (</w:t>
      </w:r>
      <w:r w:rsidRPr="00243A7C">
        <w:rPr>
          <w:i/>
          <w:iCs/>
        </w:rPr>
        <w:t>RIP</w:t>
      </w:r>
      <w:r w:rsidRPr="00243A7C">
        <w:t>)</w:t>
      </w:r>
    </w:p>
    <w:p w14:paraId="507C3BFB" w14:textId="77777777" w:rsidR="008E04E1" w:rsidRPr="00243A7C" w:rsidRDefault="008E04E1" w:rsidP="0037722B">
      <w:pPr>
        <w:spacing w:line="480" w:lineRule="auto"/>
      </w:pPr>
      <w:r w:rsidRPr="00243A7C">
        <w:t>Orage Quarles, retired, News &amp; Observer</w:t>
      </w:r>
    </w:p>
    <w:p w14:paraId="4915F90E" w14:textId="77777777" w:rsidR="008E04E1" w:rsidRPr="00243A7C" w:rsidRDefault="008E04E1" w:rsidP="0037722B">
      <w:pPr>
        <w:spacing w:line="480" w:lineRule="auto"/>
      </w:pPr>
      <w:r w:rsidRPr="00243A7C">
        <w:lastRenderedPageBreak/>
        <w:t>Barbara Goodmon, President, AJ Fletcher Foundation</w:t>
      </w:r>
    </w:p>
    <w:p w14:paraId="6B006500" w14:textId="77777777" w:rsidR="008E04E1" w:rsidRPr="00243A7C" w:rsidRDefault="008E04E1" w:rsidP="0037722B">
      <w:pPr>
        <w:spacing w:line="480" w:lineRule="auto"/>
      </w:pPr>
      <w:r w:rsidRPr="00243A7C">
        <w:t>Jim Goodmon, CEO, Capital Broadcasting</w:t>
      </w:r>
    </w:p>
    <w:p w14:paraId="092FA5D1" w14:textId="77777777" w:rsidR="008E04E1" w:rsidRPr="00243A7C" w:rsidRDefault="008E04E1" w:rsidP="0037722B">
      <w:pPr>
        <w:spacing w:line="480" w:lineRule="auto"/>
      </w:pPr>
      <w:r w:rsidRPr="00243A7C">
        <w:t>Deremia Johnson</w:t>
      </w:r>
    </w:p>
    <w:p w14:paraId="03F8FD4D" w14:textId="77777777" w:rsidR="008E04E1" w:rsidRPr="00243A7C" w:rsidRDefault="008E04E1" w:rsidP="0037722B">
      <w:pPr>
        <w:spacing w:line="480" w:lineRule="auto"/>
      </w:pPr>
      <w:r w:rsidRPr="00243A7C">
        <w:t>Trixy Baldwin</w:t>
      </w:r>
    </w:p>
    <w:p w14:paraId="021A1332" w14:textId="77777777" w:rsidR="008E04E1" w:rsidRPr="00243A7C" w:rsidRDefault="008E04E1" w:rsidP="0037722B">
      <w:pPr>
        <w:spacing w:line="480" w:lineRule="auto"/>
      </w:pPr>
      <w:r w:rsidRPr="00243A7C">
        <w:t>Kip Hoyt</w:t>
      </w:r>
    </w:p>
    <w:p w14:paraId="3D5F1CB0" w14:textId="77777777" w:rsidR="008E04E1" w:rsidRPr="00243A7C" w:rsidRDefault="008E04E1" w:rsidP="0037722B">
      <w:pPr>
        <w:tabs>
          <w:tab w:val="left" w:pos="2652"/>
        </w:tabs>
        <w:spacing w:line="480" w:lineRule="auto"/>
      </w:pPr>
      <w:r w:rsidRPr="00243A7C">
        <w:t>David Bohm</w:t>
      </w:r>
      <w:r w:rsidRPr="00243A7C">
        <w:tab/>
      </w:r>
    </w:p>
    <w:p w14:paraId="04DC5646" w14:textId="77777777" w:rsidR="008E04E1" w:rsidRPr="00243A7C" w:rsidRDefault="008E04E1" w:rsidP="0037722B">
      <w:pPr>
        <w:spacing w:line="480" w:lineRule="auto"/>
      </w:pPr>
      <w:r w:rsidRPr="00243A7C">
        <w:t>Frank Lawrence, Manager, South Wilmington Street Center</w:t>
      </w:r>
    </w:p>
    <w:p w14:paraId="13E666BE" w14:textId="77777777" w:rsidR="008E04E1" w:rsidRPr="00243A7C" w:rsidRDefault="008E04E1" w:rsidP="0037722B">
      <w:pPr>
        <w:spacing w:line="480" w:lineRule="auto"/>
      </w:pPr>
      <w:r w:rsidRPr="00243A7C">
        <w:t>The Healing Place of Raleigh</w:t>
      </w:r>
    </w:p>
    <w:p w14:paraId="09003A0E" w14:textId="77777777" w:rsidR="008E04E1" w:rsidRPr="00243A7C" w:rsidRDefault="008E04E1" w:rsidP="0037722B">
      <w:pPr>
        <w:spacing w:line="480" w:lineRule="auto"/>
      </w:pPr>
      <w:r w:rsidRPr="00243A7C">
        <w:t>The Salvation Army</w:t>
      </w:r>
    </w:p>
    <w:p w14:paraId="68BFD2F2" w14:textId="77777777" w:rsidR="008E04E1" w:rsidRPr="00243A7C" w:rsidRDefault="008E04E1" w:rsidP="0037722B">
      <w:pPr>
        <w:spacing w:line="480" w:lineRule="auto"/>
      </w:pPr>
      <w:r w:rsidRPr="00243A7C">
        <w:t>United Church of Christ</w:t>
      </w:r>
      <w:r>
        <w:t xml:space="preserve"> for all People</w:t>
      </w:r>
    </w:p>
    <w:p w14:paraId="220C8008" w14:textId="77777777" w:rsidR="008E04E1" w:rsidRDefault="008E04E1" w:rsidP="0037722B">
      <w:pPr>
        <w:spacing w:line="480" w:lineRule="auto"/>
      </w:pPr>
      <w:r w:rsidRPr="00243A7C">
        <w:t>Lost Sheep Outreach Ministry</w:t>
      </w:r>
    </w:p>
    <w:p w14:paraId="54987EE2" w14:textId="77777777" w:rsidR="008E04E1" w:rsidRPr="00243A7C" w:rsidRDefault="008E04E1" w:rsidP="0037722B">
      <w:pPr>
        <w:spacing w:line="480" w:lineRule="auto"/>
      </w:pPr>
      <w:r>
        <w:t>Michael &amp; Tina Noel</w:t>
      </w:r>
    </w:p>
    <w:p w14:paraId="794884FB" w14:textId="77777777" w:rsidR="008E04E1" w:rsidRDefault="008E04E1" w:rsidP="0037722B">
      <w:pPr>
        <w:spacing w:line="480" w:lineRule="auto"/>
      </w:pPr>
      <w:r w:rsidRPr="00243A7C">
        <w:t>Virginia Brown</w:t>
      </w:r>
    </w:p>
    <w:p w14:paraId="6E228C10" w14:textId="18762D45" w:rsidR="008E04E1" w:rsidRPr="00243A7C" w:rsidRDefault="008E04E1" w:rsidP="0037722B">
      <w:pPr>
        <w:spacing w:line="480" w:lineRule="auto"/>
      </w:pPr>
      <w:r>
        <w:t xml:space="preserve">Tiwana </w:t>
      </w:r>
      <w:r w:rsidR="003438B3">
        <w:t>Yelverton</w:t>
      </w:r>
    </w:p>
    <w:p w14:paraId="3E643DD2" w14:textId="77777777" w:rsidR="008E04E1" w:rsidRPr="00243A7C" w:rsidRDefault="008E04E1" w:rsidP="0037722B">
      <w:pPr>
        <w:spacing w:line="480" w:lineRule="auto"/>
      </w:pPr>
      <w:r w:rsidRPr="00243A7C">
        <w:t xml:space="preserve">Billy Liggett, Director of News &amp; Publications, Campbell University </w:t>
      </w:r>
    </w:p>
    <w:p w14:paraId="26A46C72" w14:textId="45FBA5E7" w:rsidR="008E04E1" w:rsidRPr="00243A7C" w:rsidRDefault="008E04E1" w:rsidP="0037722B">
      <w:pPr>
        <w:spacing w:line="480" w:lineRule="auto"/>
      </w:pPr>
      <w:r w:rsidRPr="00243A7C">
        <w:t>Corporal Anthony Locklear</w:t>
      </w:r>
      <w:r w:rsidR="00B664EB">
        <w:t xml:space="preserve"> retired</w:t>
      </w:r>
      <w:r w:rsidR="0070375B">
        <w:t xml:space="preserve">, </w:t>
      </w:r>
      <w:r w:rsidR="00014377">
        <w:t xml:space="preserve"> </w:t>
      </w:r>
      <w:r w:rsidR="00B664EB">
        <w:t>Holly Springs Police</w:t>
      </w:r>
    </w:p>
    <w:p w14:paraId="0CE10C03" w14:textId="77777777" w:rsidR="008E04E1" w:rsidRPr="00243A7C" w:rsidRDefault="008E04E1" w:rsidP="0037722B">
      <w:pPr>
        <w:spacing w:line="480" w:lineRule="auto"/>
      </w:pPr>
      <w:r w:rsidRPr="00243A7C">
        <w:t>AJ Viola</w:t>
      </w:r>
    </w:p>
    <w:p w14:paraId="30968437" w14:textId="77777777" w:rsidR="008E04E1" w:rsidRPr="00243A7C" w:rsidRDefault="008E04E1" w:rsidP="0037722B">
      <w:pPr>
        <w:spacing w:line="480" w:lineRule="auto"/>
      </w:pPr>
      <w:r w:rsidRPr="00243A7C">
        <w:t>Cynthia Viola</w:t>
      </w:r>
    </w:p>
    <w:p w14:paraId="195B0381" w14:textId="77777777" w:rsidR="008E04E1" w:rsidRDefault="008E04E1" w:rsidP="0037722B">
      <w:pPr>
        <w:spacing w:line="480" w:lineRule="auto"/>
      </w:pPr>
      <w:r w:rsidRPr="00243A7C">
        <w:t>Calvin Vinson</w:t>
      </w:r>
    </w:p>
    <w:p w14:paraId="78303E76" w14:textId="1D52A5DF" w:rsidR="00CA2800" w:rsidRPr="00243A7C" w:rsidRDefault="00CA2800" w:rsidP="0037722B">
      <w:pPr>
        <w:spacing w:line="480" w:lineRule="auto"/>
      </w:pPr>
      <w:r>
        <w:t>Toinita Billups</w:t>
      </w:r>
    </w:p>
    <w:p w14:paraId="53A23751" w14:textId="77777777" w:rsidR="008E04E1" w:rsidRPr="00243A7C" w:rsidRDefault="008E04E1" w:rsidP="0037722B">
      <w:pPr>
        <w:spacing w:line="480" w:lineRule="auto"/>
      </w:pPr>
      <w:r w:rsidRPr="00243A7C">
        <w:t>Campbell University</w:t>
      </w:r>
    </w:p>
    <w:p w14:paraId="1130F4E5" w14:textId="77777777" w:rsidR="008E04E1" w:rsidRPr="00243A7C" w:rsidRDefault="008E04E1" w:rsidP="0037722B">
      <w:pPr>
        <w:spacing w:line="480" w:lineRule="auto"/>
      </w:pPr>
      <w:r w:rsidRPr="00243A7C">
        <w:t>Wake Technical Community College</w:t>
      </w:r>
    </w:p>
    <w:p w14:paraId="1E2FC032" w14:textId="77777777" w:rsidR="008E04E1" w:rsidRDefault="008E04E1" w:rsidP="0037722B">
      <w:pPr>
        <w:spacing w:line="480" w:lineRule="auto"/>
      </w:pPr>
      <w:r w:rsidRPr="00243A7C">
        <w:t>Walden University</w:t>
      </w:r>
    </w:p>
    <w:p w14:paraId="06DF23C7" w14:textId="6AB727FE" w:rsidR="007262F9" w:rsidRDefault="007262F9" w:rsidP="0037722B">
      <w:pPr>
        <w:spacing w:line="480" w:lineRule="auto"/>
      </w:pPr>
      <w:r>
        <w:lastRenderedPageBreak/>
        <w:t>Timothy Wright</w:t>
      </w:r>
    </w:p>
    <w:p w14:paraId="28ED1130" w14:textId="77777777" w:rsidR="008E04E1" w:rsidRPr="00243A7C" w:rsidRDefault="008E04E1" w:rsidP="0037722B">
      <w:pPr>
        <w:spacing w:line="480" w:lineRule="auto"/>
      </w:pPr>
      <w:r w:rsidRPr="00243A7C">
        <w:t>The staff and students at Campbell University‘s Blanchard Community Law Clinic</w:t>
      </w:r>
    </w:p>
    <w:p w14:paraId="29B91BCE" w14:textId="77777777" w:rsidR="008E04E1" w:rsidRPr="00243A7C" w:rsidRDefault="008E04E1" w:rsidP="0037722B">
      <w:pPr>
        <w:spacing w:line="480" w:lineRule="auto"/>
      </w:pPr>
      <w:r w:rsidRPr="00243A7C">
        <w:t>The staff of Cottage Healthcare</w:t>
      </w:r>
    </w:p>
    <w:p w14:paraId="3D6C7E9C" w14:textId="77777777" w:rsidR="008E04E1" w:rsidRPr="00243A7C" w:rsidRDefault="008E04E1" w:rsidP="0037722B">
      <w:pPr>
        <w:spacing w:line="480" w:lineRule="auto"/>
      </w:pPr>
      <w:r w:rsidRPr="00243A7C">
        <w:t>Fran Kay Moseley</w:t>
      </w:r>
    </w:p>
    <w:p w14:paraId="0641F92C" w14:textId="77777777" w:rsidR="008E04E1" w:rsidRPr="00243A7C" w:rsidRDefault="008E04E1" w:rsidP="0037722B">
      <w:pPr>
        <w:spacing w:line="480" w:lineRule="auto"/>
      </w:pPr>
      <w:r w:rsidRPr="00243A7C">
        <w:t>Shenora Guthridge</w:t>
      </w:r>
    </w:p>
    <w:p w14:paraId="2C00BFF0" w14:textId="77777777" w:rsidR="008E04E1" w:rsidRPr="00243A7C" w:rsidRDefault="008E04E1" w:rsidP="0037722B">
      <w:pPr>
        <w:spacing w:line="480" w:lineRule="auto"/>
      </w:pPr>
      <w:r w:rsidRPr="00243A7C">
        <w:t>David Kornegay</w:t>
      </w:r>
    </w:p>
    <w:p w14:paraId="33D02172" w14:textId="77777777" w:rsidR="008E04E1" w:rsidRPr="00243A7C" w:rsidRDefault="008E04E1" w:rsidP="0037722B">
      <w:pPr>
        <w:spacing w:line="480" w:lineRule="auto"/>
      </w:pPr>
      <w:r w:rsidRPr="00243A7C">
        <w:t>Willian D. Young IV and the staff of Hatch, Little, and Bunn</w:t>
      </w:r>
    </w:p>
    <w:p w14:paraId="529FE249" w14:textId="77777777" w:rsidR="008E04E1" w:rsidRPr="00243A7C" w:rsidRDefault="008E04E1" w:rsidP="0037722B">
      <w:pPr>
        <w:spacing w:line="480" w:lineRule="auto"/>
      </w:pPr>
      <w:r w:rsidRPr="00243A7C">
        <w:t>Loretta Bush</w:t>
      </w:r>
    </w:p>
    <w:p w14:paraId="5AB8FC7C" w14:textId="77777777" w:rsidR="008E04E1" w:rsidRPr="00243A7C" w:rsidRDefault="008E04E1" w:rsidP="0037722B">
      <w:pPr>
        <w:spacing w:line="480" w:lineRule="auto"/>
      </w:pPr>
      <w:r w:rsidRPr="00243A7C">
        <w:t>Alton Bush</w:t>
      </w:r>
    </w:p>
    <w:p w14:paraId="05BB0574" w14:textId="77777777" w:rsidR="008E04E1" w:rsidRPr="00243A7C" w:rsidRDefault="008E04E1" w:rsidP="0037722B">
      <w:pPr>
        <w:spacing w:line="480" w:lineRule="auto"/>
      </w:pPr>
      <w:r w:rsidRPr="00243A7C">
        <w:t>James Bellfield</w:t>
      </w:r>
    </w:p>
    <w:p w14:paraId="72CCF5E6" w14:textId="77777777" w:rsidR="008E04E1" w:rsidRPr="00243A7C" w:rsidRDefault="008E04E1" w:rsidP="0037722B">
      <w:pPr>
        <w:spacing w:line="480" w:lineRule="auto"/>
      </w:pPr>
      <w:r w:rsidRPr="00243A7C">
        <w:t>The Bellfield Family</w:t>
      </w:r>
    </w:p>
    <w:p w14:paraId="3C0272B0" w14:textId="77777777" w:rsidR="008E04E1" w:rsidRPr="00243A7C" w:rsidRDefault="008E04E1" w:rsidP="0037722B">
      <w:pPr>
        <w:spacing w:line="480" w:lineRule="auto"/>
      </w:pPr>
      <w:r w:rsidRPr="00243A7C">
        <w:t>Kevin Banks &amp; The Family</w:t>
      </w:r>
    </w:p>
    <w:p w14:paraId="44F6A6C6" w14:textId="77777777" w:rsidR="008E04E1" w:rsidRDefault="008E04E1" w:rsidP="0037722B">
      <w:pPr>
        <w:spacing w:line="480" w:lineRule="auto"/>
      </w:pPr>
      <w:r w:rsidRPr="00243A7C">
        <w:t>Ursula Herring</w:t>
      </w:r>
    </w:p>
    <w:p w14:paraId="4568D5CB" w14:textId="77777777" w:rsidR="008E04E1" w:rsidRDefault="008E04E1" w:rsidP="0037722B">
      <w:pPr>
        <w:spacing w:line="480" w:lineRule="auto"/>
      </w:pPr>
      <w:r w:rsidRPr="00243A7C">
        <w:t>Wanda Morrisey</w:t>
      </w:r>
    </w:p>
    <w:p w14:paraId="3E79580C" w14:textId="78A648B4" w:rsidR="00D76F05" w:rsidRPr="00243A7C" w:rsidRDefault="00D76F05" w:rsidP="0037722B">
      <w:pPr>
        <w:spacing w:line="480" w:lineRule="auto"/>
      </w:pPr>
      <w:r>
        <w:t>Wasi Khan</w:t>
      </w:r>
    </w:p>
    <w:p w14:paraId="4542643F" w14:textId="77777777" w:rsidR="0090606D" w:rsidRDefault="0090606D" w:rsidP="0037722B">
      <w:pPr>
        <w:spacing w:line="480" w:lineRule="auto"/>
      </w:pPr>
      <w:r>
        <w:t>Laura Martin</w:t>
      </w:r>
    </w:p>
    <w:p w14:paraId="6D955260" w14:textId="715091C1" w:rsidR="00D819C1" w:rsidRDefault="00D819C1" w:rsidP="0037722B">
      <w:pPr>
        <w:spacing w:line="480" w:lineRule="auto"/>
      </w:pPr>
      <w:r>
        <w:t>Eric Arceneaux</w:t>
      </w:r>
      <w:r w:rsidR="00785C7C">
        <w:t xml:space="preserve">, of </w:t>
      </w:r>
      <w:r w:rsidR="00A018AE">
        <w:t>AApproach</w:t>
      </w:r>
    </w:p>
    <w:p w14:paraId="2DA50AA8" w14:textId="061AE7D9" w:rsidR="00992EDB" w:rsidRDefault="00D819C1" w:rsidP="0037722B">
      <w:pPr>
        <w:spacing w:line="480" w:lineRule="auto"/>
      </w:pPr>
      <w:r>
        <w:t>Michael Arceneaux</w:t>
      </w:r>
      <w:r w:rsidR="00992EDB">
        <w:t>, of SPKRS Academy</w:t>
      </w:r>
    </w:p>
    <w:p w14:paraId="61DE9ABF" w14:textId="0DE88E3A" w:rsidR="008E04E1" w:rsidRPr="00243A7C" w:rsidRDefault="008E04E1" w:rsidP="0037722B">
      <w:pPr>
        <w:spacing w:line="480" w:lineRule="auto"/>
      </w:pPr>
      <w:r w:rsidRPr="00243A7C">
        <w:t>Dr. Patrice Carter</w:t>
      </w:r>
    </w:p>
    <w:p w14:paraId="33E36E99" w14:textId="77777777" w:rsidR="008E04E1" w:rsidRPr="00243A7C" w:rsidRDefault="008E04E1" w:rsidP="0037722B">
      <w:pPr>
        <w:spacing w:line="480" w:lineRule="auto"/>
      </w:pPr>
      <w:r w:rsidRPr="00243A7C">
        <w:t>Dr. Terika Haynes</w:t>
      </w:r>
    </w:p>
    <w:p w14:paraId="3716BBEC" w14:textId="77777777" w:rsidR="008E04E1" w:rsidRPr="00243A7C" w:rsidRDefault="008E04E1" w:rsidP="0037722B">
      <w:pPr>
        <w:spacing w:line="480" w:lineRule="auto"/>
      </w:pPr>
      <w:r w:rsidRPr="00243A7C">
        <w:t xml:space="preserve">Dr. Taylor Ann Diefenderfer </w:t>
      </w:r>
    </w:p>
    <w:p w14:paraId="7E342C7D" w14:textId="77777777" w:rsidR="008E04E1" w:rsidRPr="00243A7C" w:rsidRDefault="008E04E1" w:rsidP="0037722B">
      <w:pPr>
        <w:spacing w:line="480" w:lineRule="auto"/>
      </w:pPr>
      <w:r w:rsidRPr="00243A7C">
        <w:t>Dr. Frank Head</w:t>
      </w:r>
    </w:p>
    <w:p w14:paraId="329BBCDC" w14:textId="77777777" w:rsidR="008E04E1" w:rsidRPr="008F02C4" w:rsidRDefault="008E04E1" w:rsidP="0037722B">
      <w:pPr>
        <w:spacing w:line="480" w:lineRule="auto"/>
        <w:rPr>
          <w:lang w:val="fr-FR"/>
        </w:rPr>
      </w:pPr>
      <w:r w:rsidRPr="008F02C4">
        <w:rPr>
          <w:lang w:val="fr-FR"/>
        </w:rPr>
        <w:t>Dr. Janay Miller</w:t>
      </w:r>
    </w:p>
    <w:p w14:paraId="1BA90ABB" w14:textId="77777777" w:rsidR="008E04E1" w:rsidRPr="008F02C4" w:rsidRDefault="008E04E1" w:rsidP="0037722B">
      <w:pPr>
        <w:spacing w:line="480" w:lineRule="auto"/>
        <w:rPr>
          <w:lang w:val="fr-FR"/>
        </w:rPr>
      </w:pPr>
      <w:r w:rsidRPr="008F02C4">
        <w:rPr>
          <w:lang w:val="fr-FR"/>
        </w:rPr>
        <w:lastRenderedPageBreak/>
        <w:t>Dr. Monique Porter</w:t>
      </w:r>
    </w:p>
    <w:p w14:paraId="3F0D745C" w14:textId="77777777" w:rsidR="008E04E1" w:rsidRPr="00243A7C" w:rsidRDefault="008E04E1" w:rsidP="0037722B">
      <w:pPr>
        <w:spacing w:line="480" w:lineRule="auto"/>
      </w:pPr>
      <w:r w:rsidRPr="00243A7C">
        <w:t>Dr. Rod Laster</w:t>
      </w:r>
    </w:p>
    <w:p w14:paraId="0235D1C1" w14:textId="77777777" w:rsidR="008E04E1" w:rsidRPr="00243A7C" w:rsidRDefault="008E04E1" w:rsidP="0037722B">
      <w:pPr>
        <w:spacing w:line="480" w:lineRule="auto"/>
      </w:pPr>
      <w:r w:rsidRPr="00243A7C">
        <w:t>Dr. Thomas Ortiz</w:t>
      </w:r>
    </w:p>
    <w:p w14:paraId="65BC94E7" w14:textId="77777777" w:rsidR="008E04E1" w:rsidRPr="00243A7C" w:rsidRDefault="008E04E1" w:rsidP="0037722B">
      <w:pPr>
        <w:spacing w:line="480" w:lineRule="auto"/>
      </w:pPr>
      <w:r w:rsidRPr="00243A7C">
        <w:t>Dr. James Alexander</w:t>
      </w:r>
    </w:p>
    <w:p w14:paraId="0EA9602E" w14:textId="26C94BAC" w:rsidR="008E04E1" w:rsidRPr="00243A7C" w:rsidRDefault="008E04E1" w:rsidP="0037722B">
      <w:pPr>
        <w:spacing w:line="480" w:lineRule="auto"/>
      </w:pPr>
      <w:r w:rsidRPr="00243A7C">
        <w:t>Dr. Angela Davis-McKoy</w:t>
      </w:r>
    </w:p>
    <w:p w14:paraId="12DB6B4D" w14:textId="084D6ABB" w:rsidR="008E04E1" w:rsidRPr="00243A7C" w:rsidRDefault="008E04E1" w:rsidP="0037722B">
      <w:pPr>
        <w:spacing w:line="480" w:lineRule="auto"/>
      </w:pPr>
      <w:r w:rsidRPr="00243A7C">
        <w:t>Dr. Louie Boykin, Senior Pastor, Baldwin Branch Missionary Baptist Church</w:t>
      </w:r>
    </w:p>
    <w:p w14:paraId="42A631A9" w14:textId="5A04C34F" w:rsidR="008E04E1" w:rsidRPr="00243A7C" w:rsidRDefault="008E04E1" w:rsidP="0037722B">
      <w:pPr>
        <w:spacing w:line="480" w:lineRule="auto"/>
      </w:pPr>
      <w:r w:rsidRPr="00243A7C">
        <w:t>Dr</w:t>
      </w:r>
      <w:r w:rsidR="00ED1556">
        <w:t>.</w:t>
      </w:r>
      <w:r w:rsidRPr="00243A7C">
        <w:t xml:space="preserve"> Ja</w:t>
      </w:r>
      <w:r w:rsidR="003F7705">
        <w:t>y</w:t>
      </w:r>
      <w:r w:rsidRPr="00243A7C">
        <w:t>ne S. White, Professor Emeritus, Yale University</w:t>
      </w:r>
    </w:p>
    <w:p w14:paraId="7CCC0A6A" w14:textId="77777777" w:rsidR="008E04E1" w:rsidRDefault="008E04E1" w:rsidP="0037722B">
      <w:pPr>
        <w:spacing w:line="480" w:lineRule="auto"/>
      </w:pPr>
      <w:r w:rsidRPr="00243A7C">
        <w:t>Mr. Larry Sutton, former History Instructor, Clinton High School</w:t>
      </w:r>
    </w:p>
    <w:p w14:paraId="022E83AC" w14:textId="77777777" w:rsidR="003C3A78" w:rsidRDefault="003C3A78" w:rsidP="0037722B">
      <w:pPr>
        <w:spacing w:line="480" w:lineRule="auto"/>
        <w:ind w:firstLine="720"/>
      </w:pPr>
      <w:r w:rsidRPr="00243A7C">
        <w:t>To the memory of my best friend in the entire world, Carl Evans (2006). Carl…you always encouraged me to go back to college. You further helped me find the inner strength I never knew I had. You helped me better understand how to love myself enough to get off the streets and to get clean from drugs. You taught me that I was worth being loved, and if no one else realized that, then I should…and I have. Carl, how I wish you were here to enjoy this ride with me. I know you would be cheering and supporting every step of the way. I miss you, my friend.</w:t>
      </w:r>
    </w:p>
    <w:p w14:paraId="53E7AA84" w14:textId="18DBDE41" w:rsidR="008E04E1" w:rsidRPr="00243A7C" w:rsidRDefault="008E04E1" w:rsidP="0037722B">
      <w:pPr>
        <w:spacing w:line="480" w:lineRule="auto"/>
        <w:ind w:firstLine="720"/>
      </w:pPr>
      <w:r w:rsidRPr="00243A7C">
        <w:t>To my late sister, Geraldine Grant.</w:t>
      </w:r>
      <w:r>
        <w:t>(2016)</w:t>
      </w:r>
      <w:r w:rsidRPr="00243A7C">
        <w:t xml:space="preserve"> How I wish you were here during this process. The last time we saw one another, you were so proud of me. You further encouraged me to continue pursuing my dreams. Thank you so much for believing in me and supporting me.</w:t>
      </w:r>
      <w:r>
        <w:t xml:space="preserve"> I miss you </w:t>
      </w:r>
      <w:r w:rsidR="00DE0830">
        <w:t>so much</w:t>
      </w:r>
      <w:r>
        <w:t>.</w:t>
      </w:r>
    </w:p>
    <w:p w14:paraId="72130603" w14:textId="0DDCCC42" w:rsidR="00867F46" w:rsidRDefault="00867F46" w:rsidP="0037722B">
      <w:pPr>
        <w:spacing w:line="480" w:lineRule="auto"/>
        <w:ind w:firstLine="720"/>
      </w:pPr>
      <w:r w:rsidRPr="00243A7C">
        <w:t xml:space="preserve">To the memory of a dear friend, mentor, </w:t>
      </w:r>
      <w:r w:rsidR="00781ABC">
        <w:t xml:space="preserve">and </w:t>
      </w:r>
      <w:r w:rsidRPr="00243A7C">
        <w:t xml:space="preserve">advisor, Dave Hinton (2019). You gave me my first laptop in 2004 and advised me to write two books and tell my story. I am in the process of honoring that request. Thank you, Dave, for believing in me and for never treating me </w:t>
      </w:r>
      <w:r>
        <w:t xml:space="preserve">like </w:t>
      </w:r>
      <w:r w:rsidR="00781ABC">
        <w:t xml:space="preserve">I was </w:t>
      </w:r>
      <w:r w:rsidRPr="00243A7C">
        <w:t>a homeless person.</w:t>
      </w:r>
    </w:p>
    <w:p w14:paraId="50297900" w14:textId="77777777" w:rsidR="008E04E1" w:rsidRPr="00243A7C" w:rsidRDefault="008E04E1" w:rsidP="0037722B">
      <w:pPr>
        <w:spacing w:line="480" w:lineRule="auto"/>
        <w:ind w:firstLine="720"/>
      </w:pPr>
      <w:r w:rsidRPr="00243A7C">
        <w:lastRenderedPageBreak/>
        <w:t>To my late brother, Ronnie Watkins</w:t>
      </w:r>
      <w:r>
        <w:t xml:space="preserve"> (2023), you</w:t>
      </w:r>
      <w:r w:rsidRPr="00243A7C">
        <w:t xml:space="preserve"> always reminded me that this doctoral journey was my lifelong goal. You encouraged me to pursue it. You always believed in me and always encouraged me to do this, and I have. Ron, I love and miss you, and I thank you for your love and support. I wish you were here to celebrate this journey with me.</w:t>
      </w:r>
    </w:p>
    <w:p w14:paraId="3DE77967" w14:textId="539FC277" w:rsidR="00236267" w:rsidRPr="00243A7C" w:rsidRDefault="00236267" w:rsidP="0037722B">
      <w:pPr>
        <w:spacing w:line="480" w:lineRule="auto"/>
        <w:ind w:firstLine="720"/>
      </w:pPr>
      <w:r w:rsidRPr="00243A7C">
        <w:t xml:space="preserve">To </w:t>
      </w:r>
      <w:r>
        <w:t xml:space="preserve">the memory of </w:t>
      </w:r>
      <w:r w:rsidRPr="00243A7C">
        <w:t>my brother Larry George,</w:t>
      </w:r>
      <w:r>
        <w:t xml:space="preserve"> Jr (2026),</w:t>
      </w:r>
      <w:r w:rsidRPr="00243A7C">
        <w:t xml:space="preserve"> you instilled in me a love of education at an early age. You </w:t>
      </w:r>
      <w:r>
        <w:t>always</w:t>
      </w:r>
      <w:r w:rsidRPr="00243A7C">
        <w:t xml:space="preserve"> told me that I could do anything I wanted, as long as I applied myself…and now I </w:t>
      </w:r>
      <w:r w:rsidR="008E3895">
        <w:t>am</w:t>
      </w:r>
      <w:r w:rsidRPr="00243A7C">
        <w:t xml:space="preserve">. </w:t>
      </w:r>
      <w:r>
        <w:t xml:space="preserve">You used to test my vocabulary during your visits with me in my youth. I would always be ready for you, too. </w:t>
      </w:r>
      <w:r w:rsidRPr="00243A7C">
        <w:t xml:space="preserve">Thank you, </w:t>
      </w:r>
      <w:r>
        <w:t>Junior</w:t>
      </w:r>
      <w:r w:rsidRPr="00243A7C">
        <w:t xml:space="preserve">, for your </w:t>
      </w:r>
      <w:r>
        <w:t xml:space="preserve">love, </w:t>
      </w:r>
      <w:r w:rsidRPr="00243A7C">
        <w:t>support</w:t>
      </w:r>
      <w:r>
        <w:t>,</w:t>
      </w:r>
      <w:r w:rsidRPr="00243A7C">
        <w:t xml:space="preserve"> and encouragement.</w:t>
      </w:r>
      <w:r>
        <w:t xml:space="preserve"> I will miss you terribly.</w:t>
      </w:r>
    </w:p>
    <w:p w14:paraId="5E2AF115" w14:textId="77777777" w:rsidR="00F94AE1" w:rsidRPr="00243A7C" w:rsidRDefault="00F94AE1" w:rsidP="0037722B">
      <w:pPr>
        <w:spacing w:line="480" w:lineRule="auto"/>
        <w:ind w:firstLine="720"/>
      </w:pPr>
      <w:r w:rsidRPr="00243A7C">
        <w:t>To my sister, Pattie Ward. Pat</w:t>
      </w:r>
      <w:r>
        <w:t>tie</w:t>
      </w:r>
      <w:r w:rsidRPr="00243A7C">
        <w:t xml:space="preserve">, you taught me the love of education at an early age. You taught me my first big word in the second grade, and that word was “antidisestablishmentarianism.” I never forgot it, and I can define it. Thank you for instilling in me the importance of </w:t>
      </w:r>
      <w:r>
        <w:t xml:space="preserve">a quality </w:t>
      </w:r>
      <w:r w:rsidRPr="00243A7C">
        <w:t>education.</w:t>
      </w:r>
    </w:p>
    <w:p w14:paraId="463B1D6D" w14:textId="0E81E58C" w:rsidR="00F94AE1" w:rsidRDefault="00F94AE1" w:rsidP="0037722B">
      <w:pPr>
        <w:spacing w:line="480" w:lineRule="auto"/>
        <w:ind w:firstLine="720"/>
      </w:pPr>
      <w:r w:rsidRPr="00243A7C">
        <w:t>To my sister, Ang</w:t>
      </w:r>
      <w:r>
        <w:t>ela Bellfield</w:t>
      </w:r>
      <w:r w:rsidRPr="00243A7C">
        <w:t xml:space="preserve">. You and I had always been close, but our lives took different paths, and we both went in separate directions. Although when we were reunited, it was as if we had never been apart. When I fell asleep at my computer </w:t>
      </w:r>
      <w:r>
        <w:t xml:space="preserve">for so </w:t>
      </w:r>
      <w:r w:rsidRPr="00243A7C">
        <w:t xml:space="preserve">many nights, while doing </w:t>
      </w:r>
      <w:r>
        <w:t xml:space="preserve">my </w:t>
      </w:r>
      <w:r w:rsidRPr="00243A7C">
        <w:t>homework</w:t>
      </w:r>
      <w:r>
        <w:t xml:space="preserve"> or doctoral research,</w:t>
      </w:r>
      <w:r w:rsidRPr="00243A7C">
        <w:t xml:space="preserve"> you would always wake me up and make me go to bed. You have been there for me throughout my entire academic journey, </w:t>
      </w:r>
      <w:r>
        <w:t xml:space="preserve">as well as during my journey out of homelessness, </w:t>
      </w:r>
      <w:r w:rsidRPr="00243A7C">
        <w:t>and I sincerely appreciate your support. Thank you, Angie, for being there for me.</w:t>
      </w:r>
    </w:p>
    <w:p w14:paraId="6824A711" w14:textId="0AAE9261" w:rsidR="008E04E1" w:rsidRDefault="008E04E1" w:rsidP="0037722B">
      <w:pPr>
        <w:spacing w:line="480" w:lineRule="auto"/>
        <w:ind w:firstLine="720"/>
      </w:pPr>
      <w:r w:rsidRPr="00243A7C">
        <w:t>To my best friend, Kevin Banks</w:t>
      </w:r>
      <w:r w:rsidR="00860145">
        <w:t>, and the family</w:t>
      </w:r>
      <w:r w:rsidRPr="00243A7C">
        <w:t xml:space="preserve">. Kevin, we met almost 30 years ago, and we have been inseparable since. Our lives have </w:t>
      </w:r>
      <w:r w:rsidR="007B2E32">
        <w:t xml:space="preserve">brought us through many </w:t>
      </w:r>
      <w:r w:rsidR="007B2E32">
        <w:lastRenderedPageBreak/>
        <w:t>difficulties, but our friendship has always proven stronger than any test we have faced</w:t>
      </w:r>
      <w:r w:rsidRPr="00243A7C">
        <w:t xml:space="preserve">. It was my great fortune to have met you. You always supported me in my endeavors, even when singing with </w:t>
      </w:r>
      <w:r w:rsidR="007002E0">
        <w:t xml:space="preserve">Just Us and </w:t>
      </w:r>
      <w:r w:rsidRPr="00243A7C">
        <w:t>MKM. Thank you for sharing your life and your family with me. Now, you are all my family, as well, and I love you all.</w:t>
      </w:r>
      <w:r w:rsidR="00860145">
        <w:t xml:space="preserve"> Please give the family my love.</w:t>
      </w:r>
    </w:p>
    <w:p w14:paraId="563A7E7F" w14:textId="769C1C76" w:rsidR="0075276A" w:rsidRDefault="0075276A" w:rsidP="0037722B">
      <w:pPr>
        <w:spacing w:line="480" w:lineRule="auto"/>
        <w:ind w:firstLine="720"/>
      </w:pPr>
      <w:r w:rsidRPr="0075276A">
        <w:t xml:space="preserve">My dearest friend…Tointa Billups…Throughout my academic tenure, you have been with me. You have heard all my rants, raves, my desire to leave school, and my desire not to attend school anymore. You whisked me away </w:t>
      </w:r>
      <w:r>
        <w:t xml:space="preserve">to DC during the height of the pandemic </w:t>
      </w:r>
      <w:r w:rsidRPr="0075276A">
        <w:t xml:space="preserve">when I graduated from Campbell University. That was an amazing experience. We journeyed down the road </w:t>
      </w:r>
      <w:r>
        <w:t>of academics and life together, and we survived some tough experiences and shared some amazing ones, as well</w:t>
      </w:r>
      <w:r w:rsidRPr="0075276A">
        <w:t>. Thank you for always being such a great friend to me. You have no idea how much it means to me. Where will our journey take us next?</w:t>
      </w:r>
    </w:p>
    <w:p w14:paraId="28487C31" w14:textId="48F0BAC9" w:rsidR="008E04E1" w:rsidRPr="00243A7C" w:rsidRDefault="008E04E1" w:rsidP="0037722B">
      <w:pPr>
        <w:spacing w:line="480" w:lineRule="auto"/>
        <w:ind w:firstLine="720"/>
      </w:pPr>
      <w:r>
        <w:t>To my lifelong friend and sister, Dr. Angela Davis-McKoy. From growing up as neighbors, to high school classmates, to fellow doctors in academia, our journeys have come full circle. Your priceless guidance, support, and advice during my doctoral research helped me overcome significant challenges related to the Impostor Syndrome. Thank you for being an invaluable resource….Remember…#PICDAY</w:t>
      </w:r>
      <w:r w:rsidR="002B2A47">
        <w:t>2026.</w:t>
      </w:r>
    </w:p>
    <w:p w14:paraId="17FA5C7B" w14:textId="77777777" w:rsidR="008E04E1" w:rsidRPr="00243A7C" w:rsidRDefault="008E04E1" w:rsidP="0037722B">
      <w:pPr>
        <w:spacing w:line="480" w:lineRule="auto"/>
        <w:ind w:firstLine="720"/>
      </w:pPr>
      <w:r w:rsidRPr="00243A7C">
        <w:t xml:space="preserve">To my colleagues and brothers, Dr. Rod Laster and Dr. Thomas Ortiz. Rod…you convinced me that I was a good fit for the DHA program and further encouraged me to pursue my research and my dream. Thomas…you helped me and advised me throughout the dissertation journey, and I thank you. You have always encouraged me to continue my research, which I am passionate about. Thank you, my brothers, for your continued </w:t>
      </w:r>
      <w:r w:rsidRPr="00243A7C">
        <w:lastRenderedPageBreak/>
        <w:t>support and encouragement. I could not have done this without you two. Now, we must celebrate our individual and collective success.</w:t>
      </w:r>
    </w:p>
    <w:p w14:paraId="60CD197F" w14:textId="77777777" w:rsidR="008E04E1" w:rsidRPr="00243A7C" w:rsidRDefault="008E04E1" w:rsidP="0037722B">
      <w:pPr>
        <w:spacing w:line="480" w:lineRule="auto"/>
        <w:ind w:firstLine="720"/>
      </w:pPr>
      <w:r w:rsidRPr="00243A7C">
        <w:t>I must give a special mention to one of the most influential people in my life, who put up with me, listened to my incessant whining, and never accepted any of my excuses for failure. My therapist, my friend, my confidant, my advocate, The Greatest of All Therapists</w:t>
      </w:r>
      <w:r>
        <w:t xml:space="preserve"> (GOAT)</w:t>
      </w:r>
      <w:r w:rsidRPr="00243A7C">
        <w:t xml:space="preserve"> Stella Green. </w:t>
      </w:r>
    </w:p>
    <w:p w14:paraId="48E375DE" w14:textId="18A49757" w:rsidR="008E04E1" w:rsidRPr="00243A7C" w:rsidRDefault="008E04E1" w:rsidP="0037722B">
      <w:pPr>
        <w:spacing w:line="480" w:lineRule="auto"/>
        <w:ind w:firstLine="720"/>
      </w:pPr>
      <w:r w:rsidRPr="00243A7C">
        <w:t xml:space="preserve">Stella, it was my great fortune to have you come into my life. You truly challenged me every step of the way, and I am grateful for that, as it has made me a better person. You were the one who first insisted that I get out of the house more often. I did that, then you continued to encourage me to return to college. I tried every excuse I could think of, but none worked with you, so I did as you asked. As a result, I have earned my associate’s, bachelor’s, and master’s degrees consecutively. Now, I am completing the requirements to earn my doctoral degree. Thank you, Stella, for never giving up on me…always encouraging me…never turning your back on me… and for always believing in me. As a result, you helped me to believe in myself again. Thank you for seeing me come out of homelessness and drug addiction, and for supporting my journey back to reintegration. I could not have accomplished any of this...without you, Stella. You will always have a special place in my heart. </w:t>
      </w:r>
    </w:p>
    <w:p w14:paraId="43FC2AB9" w14:textId="0B8220DE" w:rsidR="008E04E1" w:rsidRDefault="008E04E1" w:rsidP="0037722B">
      <w:pPr>
        <w:spacing w:line="480" w:lineRule="auto"/>
        <w:ind w:firstLine="720"/>
      </w:pPr>
      <w:r w:rsidRPr="00243A7C">
        <w:t xml:space="preserve">I especially dedicate this labor of love to my late mother, Virginia Bellfield (2012). Mom, you shaped me. You mentored me. You taught me. You supported me. You loved me. You always told me I could do this when I shared that a doctoral degree was my dream; you never let me forget it. Thank you for never giving up on me when I was homeless... when I was drug addicted…When I felt hopeless, you reminded me that </w:t>
      </w:r>
      <w:r w:rsidRPr="00243A7C">
        <w:lastRenderedPageBreak/>
        <w:t xml:space="preserve">there was hope and </w:t>
      </w:r>
      <w:r>
        <w:t>that I should</w:t>
      </w:r>
      <w:r w:rsidRPr="00243A7C">
        <w:t xml:space="preserve"> never give up on it. I would never have made it out of homelessness without your love, your support, and your prayers. Thank you for always instilling in me that I am stronger than I think I am. Now, I am on the precipice of earning my doctoral degree, thanks to you. Thank you, Mom, for your undying love and support.</w:t>
      </w:r>
    </w:p>
    <w:p w14:paraId="61497745" w14:textId="6177D520" w:rsidR="008E04E1" w:rsidRDefault="008E04E1" w:rsidP="0037722B">
      <w:pPr>
        <w:spacing w:line="480" w:lineRule="auto"/>
        <w:ind w:firstLine="720"/>
      </w:pPr>
      <w:r>
        <w:t xml:space="preserve">To my </w:t>
      </w:r>
      <w:r w:rsidR="002A6CC4">
        <w:t>c</w:t>
      </w:r>
      <w:r>
        <w:t xml:space="preserve">hair, </w:t>
      </w:r>
      <w:r w:rsidRPr="00AC0AFC">
        <w:t xml:space="preserve">Dr. Cheryl Anderson, </w:t>
      </w:r>
      <w:r>
        <w:t>my advisor…my advocate… I</w:t>
      </w:r>
      <w:r w:rsidRPr="00AC0AFC">
        <w:t xml:space="preserve">t is difficult to </w:t>
      </w:r>
      <w:r w:rsidR="00C71F0F">
        <w:t>express my gratitude to you adequately</w:t>
      </w:r>
      <w:r w:rsidRPr="00840AAB">
        <w:t xml:space="preserve">. Throughout my doctoral journey, you have been an invaluable source of strength, support, </w:t>
      </w:r>
      <w:r w:rsidR="00C71F0F">
        <w:t xml:space="preserve">wisdom, </w:t>
      </w:r>
      <w:r w:rsidRPr="00840AAB">
        <w:t xml:space="preserve">and encouragement. I often struggled with feelings of fear and </w:t>
      </w:r>
      <w:r w:rsidR="005C19D9" w:rsidRPr="00840AAB">
        <w:t xml:space="preserve">the </w:t>
      </w:r>
      <w:r w:rsidRPr="00840AAB">
        <w:t xml:space="preserve">Imposter Syndrome, doubting my worthiness to be part of this program. However, your consistent reassurance and calming presence during moments of uncertainty helped alleviate my anxieties. You affirmed my rightful place in this academic community and emphasized the importance of my </w:t>
      </w:r>
      <w:r w:rsidR="005C19D9" w:rsidRPr="00840AAB">
        <w:t>patient perspective</w:t>
      </w:r>
      <w:r w:rsidRPr="00840AAB">
        <w:t>. I am deeply thankful to you, Dr. Cheryl, for your dedication and compassionate mentorship. The impact you have had on my life will leave an indelible mark, and I am eternally grateful to you.</w:t>
      </w:r>
      <w:r w:rsidR="004961B5">
        <w:t xml:space="preserve"> </w:t>
      </w:r>
    </w:p>
    <w:p w14:paraId="61FE7037" w14:textId="34B32D9C" w:rsidR="00157D6F" w:rsidRDefault="00157D6F" w:rsidP="00BA0348">
      <w:pPr>
        <w:spacing w:line="480" w:lineRule="auto"/>
      </w:pPr>
      <w:r>
        <w:tab/>
      </w:r>
      <w:r w:rsidRPr="00157D6F">
        <w:t xml:space="preserve">To my Program Reviewer, Dr. Matt Fredriksen-England…Dear Dr. Matt, I cannot thank you enough for all your support </w:t>
      </w:r>
      <w:r w:rsidR="00164279">
        <w:t>during</w:t>
      </w:r>
      <w:r w:rsidRPr="00157D6F">
        <w:t xml:space="preserve"> my doctoral </w:t>
      </w:r>
      <w:r w:rsidR="00164279">
        <w:t>studies</w:t>
      </w:r>
      <w:r w:rsidRPr="00157D6F">
        <w:t xml:space="preserve">. You were there for me when necessary, providing me with </w:t>
      </w:r>
      <w:r w:rsidR="00200820">
        <w:t xml:space="preserve">sound </w:t>
      </w:r>
      <w:r w:rsidRPr="00157D6F">
        <w:t xml:space="preserve">advice and guidance on how to complete my dissertation successfully. You have made a great difference in my academic life, and I feel blessed </w:t>
      </w:r>
      <w:r>
        <w:t>to have you</w:t>
      </w:r>
      <w:r w:rsidRPr="00157D6F">
        <w:t xml:space="preserve"> here. You are the best, and I </w:t>
      </w:r>
      <w:r w:rsidR="00A1659D">
        <w:t>am fortunate to have met you. Thank you, Dr. Matt.</w:t>
      </w:r>
    </w:p>
    <w:p w14:paraId="6C7937AD" w14:textId="77777777" w:rsidR="00157D6F" w:rsidRDefault="00157D6F" w:rsidP="00BA0348">
      <w:pPr>
        <w:spacing w:line="480" w:lineRule="auto"/>
      </w:pPr>
    </w:p>
    <w:p w14:paraId="4F649100" w14:textId="7923C63E" w:rsidR="008E04E1" w:rsidRPr="00840AAB" w:rsidRDefault="008E04E1" w:rsidP="00BA0348">
      <w:pPr>
        <w:spacing w:line="480" w:lineRule="auto"/>
      </w:pPr>
      <w:r w:rsidRPr="00840AAB">
        <w:t>If I forgot to mention anyone, please blame it on senescence. (</w:t>
      </w:r>
      <w:r w:rsidRPr="00840AAB">
        <w:rPr>
          <w:i/>
          <w:iCs/>
        </w:rPr>
        <w:t>smile</w:t>
      </w:r>
      <w:r w:rsidRPr="00840AAB">
        <w:t>)</w:t>
      </w:r>
    </w:p>
    <w:p w14:paraId="1BC8AF81" w14:textId="77777777" w:rsidR="008E04E1" w:rsidRPr="00840AAB" w:rsidRDefault="008E04E1" w:rsidP="00BA0348">
      <w:pPr>
        <w:spacing w:line="480" w:lineRule="auto"/>
      </w:pPr>
      <w:r w:rsidRPr="00840AAB">
        <w:lastRenderedPageBreak/>
        <w:t>I also dedicate this manuscript to all those who are currently homeless and are still trying to find their way out.</w:t>
      </w:r>
    </w:p>
    <w:p w14:paraId="4257E2C7" w14:textId="77777777" w:rsidR="008E04E1" w:rsidRPr="00840AAB" w:rsidRDefault="008E04E1" w:rsidP="0037722B">
      <w:pPr>
        <w:spacing w:line="480" w:lineRule="auto"/>
      </w:pPr>
      <w:r w:rsidRPr="00840AAB">
        <w:t>Please…do not give up.</w:t>
      </w:r>
    </w:p>
    <w:p w14:paraId="6490680F" w14:textId="77777777" w:rsidR="008E04E1" w:rsidRPr="00840AAB" w:rsidRDefault="008E04E1" w:rsidP="0037722B">
      <w:pPr>
        <w:spacing w:line="480" w:lineRule="auto"/>
      </w:pPr>
      <w:r w:rsidRPr="00840AAB">
        <w:t>You can do this.</w:t>
      </w:r>
    </w:p>
    <w:p w14:paraId="5939D11F" w14:textId="77777777" w:rsidR="008E04E1" w:rsidRPr="00840AAB" w:rsidRDefault="008E04E1" w:rsidP="0037722B">
      <w:pPr>
        <w:spacing w:line="480" w:lineRule="auto"/>
      </w:pPr>
      <w:r w:rsidRPr="00840AAB">
        <w:t>I know.</w:t>
      </w:r>
    </w:p>
    <w:p w14:paraId="360EF215" w14:textId="77777777" w:rsidR="008E04E1" w:rsidRPr="00840AAB" w:rsidRDefault="008E04E1" w:rsidP="0037722B">
      <w:pPr>
        <w:spacing w:line="480" w:lineRule="auto"/>
      </w:pPr>
      <w:r w:rsidRPr="00840AAB">
        <w:t>I did.</w:t>
      </w:r>
    </w:p>
    <w:p w14:paraId="58EC29BB" w14:textId="77777777" w:rsidR="0037722B" w:rsidRDefault="008E04E1" w:rsidP="0037722B">
      <w:pPr>
        <w:spacing w:line="480" w:lineRule="auto"/>
        <w:rPr>
          <w:b/>
          <w:bCs/>
        </w:rPr>
      </w:pPr>
      <w:r w:rsidRPr="00840AAB">
        <w:rPr>
          <w:b/>
          <w:bCs/>
        </w:rPr>
        <w:t>BLESS THE NAME OF THE LORD !!!</w:t>
      </w:r>
    </w:p>
    <w:p w14:paraId="1B1CDA95" w14:textId="48CCF617" w:rsidR="00B0324B" w:rsidRPr="00840AAB" w:rsidRDefault="00E73545" w:rsidP="003630CB">
      <w:pPr>
        <w:pStyle w:val="APALevel0noTOC"/>
        <w:sectPr w:rsidR="00B0324B" w:rsidRPr="00840AAB" w:rsidSect="000C787F">
          <w:headerReference w:type="default" r:id="rId15"/>
          <w:headerReference w:type="first" r:id="rId16"/>
          <w:pgSz w:w="12240" w:h="15840" w:code="1"/>
          <w:pgMar w:top="1872" w:right="1440" w:bottom="1440" w:left="2160" w:header="1440" w:footer="1440" w:gutter="0"/>
          <w:pgNumType w:start="1"/>
          <w:cols w:space="720"/>
          <w:noEndnote/>
          <w:titlePg/>
          <w:docGrid w:linePitch="360"/>
        </w:sectPr>
      </w:pPr>
      <w:r>
        <w:br w:type="page"/>
      </w:r>
      <w:bookmarkStart w:id="2" w:name="Chapter_1"/>
      <w:bookmarkStart w:id="3" w:name="_Toc130372383"/>
      <w:bookmarkEnd w:id="2"/>
    </w:p>
    <w:p w14:paraId="20BA6124" w14:textId="265DDAC3" w:rsidR="00A604D5" w:rsidRPr="00840AAB" w:rsidRDefault="00042E1B" w:rsidP="00216056">
      <w:pPr>
        <w:pStyle w:val="APALevel0"/>
      </w:pPr>
      <w:r w:rsidRPr="00840AAB">
        <w:lastRenderedPageBreak/>
        <w:t>Part 1: Practice-Based Problem</w:t>
      </w:r>
    </w:p>
    <w:p w14:paraId="0DF1BDFD" w14:textId="4238C872" w:rsidR="00042E1B" w:rsidRPr="00840AAB" w:rsidRDefault="00042E1B" w:rsidP="00042E1B">
      <w:pPr>
        <w:pStyle w:val="APALevel1"/>
      </w:pPr>
      <w:r w:rsidRPr="00840AAB">
        <w:t>Problem of Interest</w:t>
      </w:r>
    </w:p>
    <w:p w14:paraId="52151883" w14:textId="2D9F0626" w:rsidR="00ED74EF" w:rsidRDefault="00C80CF6" w:rsidP="00A604D5">
      <w:pPr>
        <w:pStyle w:val="BodyText"/>
      </w:pPr>
      <w:r w:rsidRPr="00840AAB">
        <w:t xml:space="preserve">The problem of interest for this integrative review </w:t>
      </w:r>
      <w:r w:rsidR="008666D2">
        <w:t>was</w:t>
      </w:r>
      <w:r w:rsidRPr="00840AAB">
        <w:t xml:space="preserve"> to identify cost-reduction strategies </w:t>
      </w:r>
      <w:r w:rsidR="00164B89">
        <w:t xml:space="preserve">for integrative health care systems </w:t>
      </w:r>
      <w:r w:rsidRPr="00840AAB">
        <w:t xml:space="preserve">relative to the operational costs stemming from medication nonadherence among patients. </w:t>
      </w:r>
      <w:r w:rsidR="00ED74EF">
        <w:t xml:space="preserve">Califf (2023) noted that 25% of hospital admissions are related to medication nonadherence, which often occurs when patients do not have insurance coverage, which also creates bad hospital debt. </w:t>
      </w:r>
      <w:r w:rsidR="00164B89">
        <w:t xml:space="preserve">Although the greater impact is to the health care system, this review will focus on the integrated primary care setting which can better impact medication nonadherence. </w:t>
      </w:r>
      <w:r w:rsidRPr="00840AAB">
        <w:t xml:space="preserve">Medication nonadherence </w:t>
      </w:r>
      <w:r w:rsidR="00AC0765">
        <w:t>i</w:t>
      </w:r>
      <w:r w:rsidR="008666D2">
        <w:t>s</w:t>
      </w:r>
      <w:r w:rsidRPr="00840AAB">
        <w:t xml:space="preserve"> a systemic issue that impacts patients, providers, and the healthcare system (Eshtehardi et al., 2021). Research </w:t>
      </w:r>
      <w:r w:rsidRPr="00840AAB">
        <w:rPr>
          <w:rFonts w:eastAsia="Aptos"/>
        </w:rPr>
        <w:t>define</w:t>
      </w:r>
      <w:r w:rsidR="00164B89">
        <w:rPr>
          <w:rFonts w:eastAsia="Aptos"/>
        </w:rPr>
        <w:t>d</w:t>
      </w:r>
      <w:r w:rsidRPr="00840AAB">
        <w:rPr>
          <w:rFonts w:eastAsia="Aptos"/>
        </w:rPr>
        <w:t xml:space="preserve"> this issue as a cyclical problem that often arises from the economic challenges faced by vulnerable patients (Aremu et al., 2022)</w:t>
      </w:r>
      <w:r w:rsidRPr="00840AAB">
        <w:t xml:space="preserve">. </w:t>
      </w:r>
    </w:p>
    <w:p w14:paraId="6C43156C" w14:textId="6E83E1B0" w:rsidR="00CA5BF5" w:rsidRDefault="00C80CF6" w:rsidP="00A604D5">
      <w:pPr>
        <w:pStyle w:val="BodyText"/>
      </w:pPr>
      <w:r w:rsidRPr="00840AAB">
        <w:rPr>
          <w:rFonts w:eastAsia="Aptos"/>
        </w:rPr>
        <w:t>Chronic conditions may increase the likelihood of serious medical events (Buh et al., 2023; Huber et al., 2024).</w:t>
      </w:r>
      <w:r w:rsidRPr="00840AAB">
        <w:t xml:space="preserve"> Medication nonadherence </w:t>
      </w:r>
      <w:r w:rsidR="00E73FCC">
        <w:t>i</w:t>
      </w:r>
      <w:r w:rsidR="008666D2">
        <w:t>s</w:t>
      </w:r>
      <w:r w:rsidRPr="00840AAB">
        <w:t xml:space="preserve"> a complex topic that requires an understanding of how to address the issue to benefit patients, providers, and the healthcare system (</w:t>
      </w:r>
      <w:r w:rsidRPr="00840AAB">
        <w:rPr>
          <w:rFonts w:eastAsia="Aptos"/>
        </w:rPr>
        <w:t>Aremu et</w:t>
      </w:r>
      <w:r w:rsidR="00CB191F">
        <w:rPr>
          <w:rFonts w:eastAsia="Aptos"/>
        </w:rPr>
        <w:t xml:space="preserve"> </w:t>
      </w:r>
      <w:r w:rsidR="00595816">
        <w:rPr>
          <w:rFonts w:eastAsia="Aptos"/>
        </w:rPr>
        <w:t>al., 2022</w:t>
      </w:r>
      <w:r w:rsidR="005C19D9" w:rsidRPr="00840AAB">
        <w:rPr>
          <w:rFonts w:eastAsia="Aptos"/>
        </w:rPr>
        <w:t>).</w:t>
      </w:r>
      <w:r w:rsidRPr="00840AAB">
        <w:rPr>
          <w:rFonts w:eastAsia="Aptos"/>
        </w:rPr>
        <w:t xml:space="preserve"> </w:t>
      </w:r>
      <w:r w:rsidR="00225AD0">
        <w:rPr>
          <w:rFonts w:eastAsia="Aptos"/>
        </w:rPr>
        <w:t xml:space="preserve">Medication nonadherence negatively affects small </w:t>
      </w:r>
      <w:r w:rsidR="0040335E">
        <w:rPr>
          <w:rFonts w:eastAsia="Aptos"/>
        </w:rPr>
        <w:t>integrated primary care clinics</w:t>
      </w:r>
      <w:r w:rsidR="00225AD0">
        <w:rPr>
          <w:rFonts w:eastAsia="Aptos"/>
        </w:rPr>
        <w:t xml:space="preserve"> by</w:t>
      </w:r>
      <w:r w:rsidR="001104DD">
        <w:rPr>
          <w:rFonts w:eastAsia="Aptos"/>
        </w:rPr>
        <w:t xml:space="preserve"> </w:t>
      </w:r>
      <w:r w:rsidR="003F3DA7">
        <w:rPr>
          <w:rFonts w:eastAsia="Aptos"/>
        </w:rPr>
        <w:t xml:space="preserve">resulting in </w:t>
      </w:r>
      <w:r w:rsidR="001104DD">
        <w:rPr>
          <w:rFonts w:eastAsia="Aptos"/>
        </w:rPr>
        <w:t>poor health outcomes, such as disease progression,</w:t>
      </w:r>
      <w:r w:rsidR="00456CB8">
        <w:rPr>
          <w:rFonts w:eastAsia="Aptos"/>
        </w:rPr>
        <w:t xml:space="preserve"> and an increased risk of severe preventable illnesses, such as strokes and heart attacks</w:t>
      </w:r>
      <w:r w:rsidR="004277A1">
        <w:rPr>
          <w:rFonts w:eastAsia="Aptos"/>
        </w:rPr>
        <w:t>, which can prove to be fatal</w:t>
      </w:r>
      <w:r w:rsidR="00456CB8">
        <w:rPr>
          <w:rFonts w:eastAsia="Aptos"/>
        </w:rPr>
        <w:t xml:space="preserve">. </w:t>
      </w:r>
      <w:r w:rsidR="00B364F7">
        <w:rPr>
          <w:rFonts w:eastAsia="Aptos"/>
        </w:rPr>
        <w:t xml:space="preserve">Other negative effects of medication nonadherence </w:t>
      </w:r>
      <w:r w:rsidR="007963E1">
        <w:rPr>
          <w:rFonts w:eastAsia="Aptos"/>
        </w:rPr>
        <w:t>include</w:t>
      </w:r>
      <w:r w:rsidR="00B364F7">
        <w:rPr>
          <w:rFonts w:eastAsia="Aptos"/>
        </w:rPr>
        <w:t xml:space="preserve"> worse health conditions, increased mortality </w:t>
      </w:r>
      <w:r w:rsidR="00DB1EEE">
        <w:rPr>
          <w:rFonts w:eastAsia="Aptos"/>
        </w:rPr>
        <w:t>rates,</w:t>
      </w:r>
      <w:r w:rsidR="009A10D8">
        <w:rPr>
          <w:rFonts w:eastAsia="Aptos"/>
        </w:rPr>
        <w:t xml:space="preserve"> and failures in treatment</w:t>
      </w:r>
      <w:r w:rsidR="00164B89">
        <w:rPr>
          <w:rFonts w:eastAsia="Aptos"/>
        </w:rPr>
        <w:t xml:space="preserve"> and readmissions</w:t>
      </w:r>
      <w:r w:rsidR="00500C2D">
        <w:rPr>
          <w:rFonts w:eastAsia="Aptos"/>
        </w:rPr>
        <w:t xml:space="preserve"> </w:t>
      </w:r>
      <w:r w:rsidR="008E2EFD">
        <w:rPr>
          <w:rFonts w:eastAsia="Aptos"/>
        </w:rPr>
        <w:t>(</w:t>
      </w:r>
      <w:r w:rsidR="00164B89">
        <w:rPr>
          <w:rFonts w:eastAsia="Aptos"/>
        </w:rPr>
        <w:t xml:space="preserve">Cutler et al, 2018; </w:t>
      </w:r>
      <w:r w:rsidR="008E2EFD">
        <w:rPr>
          <w:rFonts w:eastAsia="Aptos"/>
        </w:rPr>
        <w:t>Kleinsinger</w:t>
      </w:r>
      <w:r w:rsidR="00CF12C3">
        <w:rPr>
          <w:rFonts w:eastAsia="Aptos"/>
        </w:rPr>
        <w:t>, 2018).</w:t>
      </w:r>
      <w:r w:rsidR="00B364F7">
        <w:rPr>
          <w:rFonts w:eastAsia="Aptos"/>
        </w:rPr>
        <w:t xml:space="preserve"> </w:t>
      </w:r>
      <w:r w:rsidRPr="00840AAB">
        <w:t xml:space="preserve">This integrative literature review will assess potential strategies to reduce medication nonadherence costs </w:t>
      </w:r>
      <w:r w:rsidRPr="00840AAB">
        <w:lastRenderedPageBreak/>
        <w:t xml:space="preserve">in patients by implementing innovative tracking methods in </w:t>
      </w:r>
      <w:r w:rsidR="00321A2C">
        <w:t xml:space="preserve">integrated primary care </w:t>
      </w:r>
      <w:r w:rsidR="00BD0582">
        <w:t>clinic</w:t>
      </w:r>
      <w:r w:rsidRPr="00840AAB">
        <w:t xml:space="preserve"> practices.</w:t>
      </w:r>
      <w:r w:rsidR="00CA5BF5">
        <w:t xml:space="preserve"> </w:t>
      </w:r>
    </w:p>
    <w:p w14:paraId="37C88930" w14:textId="70EA9F46" w:rsidR="00A604D5" w:rsidRPr="00840AAB" w:rsidRDefault="00CA5BF5" w:rsidP="00BA0348">
      <w:pPr>
        <w:pStyle w:val="BodyText"/>
      </w:pPr>
      <w:r w:rsidRPr="008F5B5A">
        <w:t xml:space="preserve">Results from this study </w:t>
      </w:r>
      <w:r w:rsidR="000A2112">
        <w:t>may</w:t>
      </w:r>
      <w:r w:rsidR="000A2112" w:rsidRPr="008F5B5A">
        <w:t xml:space="preserve"> </w:t>
      </w:r>
      <w:r w:rsidRPr="008F5B5A">
        <w:t xml:space="preserve">yield positive social change for patients, healthcare administrators, and the healthcare system as a whole </w:t>
      </w:r>
      <w:r w:rsidR="000A2112">
        <w:t>by</w:t>
      </w:r>
      <w:r w:rsidRPr="008F5B5A">
        <w:t xml:space="preserve"> </w:t>
      </w:r>
      <w:r w:rsidR="009D5926" w:rsidRPr="008F5B5A">
        <w:t>identif</w:t>
      </w:r>
      <w:r w:rsidR="009D5926">
        <w:t>ying</w:t>
      </w:r>
      <w:r w:rsidRPr="008F5B5A">
        <w:t xml:space="preserve"> strategies that reduce unnecessary healthcare expenditures, minimize rates of medication nonadherence, build upon existing research relative to cost-reduction strategies</w:t>
      </w:r>
      <w:r w:rsidR="007A0192">
        <w:t>, an</w:t>
      </w:r>
      <w:r w:rsidRPr="008F5B5A">
        <w:t>d lower rates of morbidity and mortality.</w:t>
      </w:r>
    </w:p>
    <w:bookmarkEnd w:id="3"/>
    <w:p w14:paraId="69BF217F" w14:textId="345CE285" w:rsidR="00A604D5" w:rsidRPr="00840AAB" w:rsidRDefault="00042E1B" w:rsidP="00042E1B">
      <w:pPr>
        <w:pStyle w:val="APALevel1"/>
      </w:pPr>
      <w:r w:rsidRPr="00840AAB">
        <w:t>Healthcare Administration Problem</w:t>
      </w:r>
    </w:p>
    <w:p w14:paraId="0D8DBEB1" w14:textId="2EBE6722" w:rsidR="00042E1B" w:rsidRPr="00840AAB" w:rsidRDefault="00042E1B" w:rsidP="00042E1B">
      <w:pPr>
        <w:pStyle w:val="APALevel2"/>
      </w:pPr>
      <w:r w:rsidRPr="00840AAB">
        <w:t>Background</w:t>
      </w:r>
    </w:p>
    <w:p w14:paraId="422F082E" w14:textId="32B6984D" w:rsidR="00071A3E" w:rsidRDefault="00DB1401" w:rsidP="00605C47">
      <w:pPr>
        <w:pStyle w:val="BodyText"/>
        <w:ind w:firstLine="0"/>
        <w:rPr>
          <w:rStyle w:val="Strong"/>
          <w:b w:val="0"/>
          <w:bCs w:val="0"/>
        </w:rPr>
      </w:pPr>
      <w:r>
        <w:rPr>
          <w:rStyle w:val="Strong"/>
          <w:b w:val="0"/>
          <w:bCs w:val="0"/>
        </w:rPr>
        <w:tab/>
      </w:r>
      <w:r w:rsidR="00381BE9" w:rsidRPr="00381BE9">
        <w:rPr>
          <w:rStyle w:val="Strong"/>
          <w:b w:val="0"/>
          <w:bCs w:val="0"/>
        </w:rPr>
        <w:t xml:space="preserve">In the United States, medication non-adherence is associated with 125,000 deaths and 10% of hospitalizations every </w:t>
      </w:r>
      <w:r w:rsidR="00A64746">
        <w:rPr>
          <w:rStyle w:val="Strong"/>
          <w:b w:val="0"/>
          <w:bCs w:val="0"/>
        </w:rPr>
        <w:t xml:space="preserve">year </w:t>
      </w:r>
      <w:r w:rsidR="00924AAB">
        <w:rPr>
          <w:rStyle w:val="Strong"/>
          <w:b w:val="0"/>
          <w:bCs w:val="0"/>
        </w:rPr>
        <w:t>(JMCP, 2022)</w:t>
      </w:r>
      <w:r w:rsidR="00A64746">
        <w:rPr>
          <w:rStyle w:val="Strong"/>
          <w:b w:val="0"/>
          <w:bCs w:val="0"/>
        </w:rPr>
        <w:t xml:space="preserve">. </w:t>
      </w:r>
      <w:r w:rsidR="00381BE9" w:rsidRPr="00381BE9">
        <w:rPr>
          <w:rStyle w:val="Strong"/>
          <w:b w:val="0"/>
          <w:bCs w:val="0"/>
        </w:rPr>
        <w:t>The pain of preventable deaths and the personal tragedy of non-adherence are disproportionately experienced by Black, Latino, and other minority populations because non-adherence is higher among these populations due to many reasons</w:t>
      </w:r>
      <w:r w:rsidR="00A97356">
        <w:rPr>
          <w:rStyle w:val="Strong"/>
          <w:b w:val="0"/>
          <w:bCs w:val="0"/>
        </w:rPr>
        <w:t xml:space="preserve"> (IMCNC, 2024)</w:t>
      </w:r>
      <w:r w:rsidR="00381BE9" w:rsidRPr="00381BE9">
        <w:rPr>
          <w:rStyle w:val="Strong"/>
          <w:b w:val="0"/>
          <w:bCs w:val="0"/>
        </w:rPr>
        <w:t>. The reasons include socioeconomic challenges, problems with the affordability and convenience of filling and refilling the medication, lack of access to pharmacies and</w:t>
      </w:r>
      <w:r w:rsidR="002305C4">
        <w:rPr>
          <w:rStyle w:val="Strong"/>
          <w:b w:val="0"/>
          <w:bCs w:val="0"/>
        </w:rPr>
        <w:t xml:space="preserve"> integrated</w:t>
      </w:r>
      <w:r w:rsidR="00381BE9" w:rsidRPr="00381BE9">
        <w:rPr>
          <w:rStyle w:val="Strong"/>
          <w:b w:val="0"/>
          <w:bCs w:val="0"/>
        </w:rPr>
        <w:t xml:space="preserve"> primary </w:t>
      </w:r>
      <w:r w:rsidR="00ED6FA4">
        <w:rPr>
          <w:rStyle w:val="Strong"/>
          <w:b w:val="0"/>
          <w:bCs w:val="0"/>
        </w:rPr>
        <w:t>care clinics</w:t>
      </w:r>
      <w:r w:rsidR="00381BE9" w:rsidRPr="00381BE9">
        <w:rPr>
          <w:rStyle w:val="Strong"/>
          <w:b w:val="0"/>
          <w:bCs w:val="0"/>
        </w:rPr>
        <w:t xml:space="preserve">, difficulty in </w:t>
      </w:r>
      <w:r w:rsidR="00E528D3" w:rsidRPr="00381BE9">
        <w:rPr>
          <w:rStyle w:val="Strong"/>
          <w:b w:val="0"/>
          <w:bCs w:val="0"/>
        </w:rPr>
        <w:t>availing of</w:t>
      </w:r>
      <w:r w:rsidR="00381BE9" w:rsidRPr="00381BE9">
        <w:rPr>
          <w:rStyle w:val="Strong"/>
          <w:b w:val="0"/>
          <w:bCs w:val="0"/>
        </w:rPr>
        <w:t xml:space="preserve"> the opportunities provided through patient engagement, lack of health literacy, lack of trust due to discrimination outside the healthcare system</w:t>
      </w:r>
      <w:r w:rsidR="00A97356">
        <w:rPr>
          <w:rStyle w:val="Strong"/>
          <w:b w:val="0"/>
          <w:bCs w:val="0"/>
        </w:rPr>
        <w:t>,</w:t>
      </w:r>
      <w:r w:rsidR="00381BE9" w:rsidRPr="00381BE9">
        <w:rPr>
          <w:rStyle w:val="Strong"/>
          <w:b w:val="0"/>
          <w:bCs w:val="0"/>
        </w:rPr>
        <w:t xml:space="preserve"> as well as within the system</w:t>
      </w:r>
      <w:r w:rsidR="0061350A">
        <w:rPr>
          <w:rStyle w:val="Strong"/>
          <w:b w:val="0"/>
          <w:bCs w:val="0"/>
        </w:rPr>
        <w:t xml:space="preserve"> </w:t>
      </w:r>
      <w:r w:rsidR="00E2580A">
        <w:rPr>
          <w:rStyle w:val="Strong"/>
          <w:b w:val="0"/>
          <w:bCs w:val="0"/>
        </w:rPr>
        <w:t>(IMCNC, 2024)</w:t>
      </w:r>
      <w:r w:rsidR="00381BE9" w:rsidRPr="00381BE9">
        <w:rPr>
          <w:rStyle w:val="Strong"/>
          <w:b w:val="0"/>
          <w:bCs w:val="0"/>
        </w:rPr>
        <w:t>.</w:t>
      </w:r>
    </w:p>
    <w:p w14:paraId="6CEFF01E" w14:textId="48CB66C8" w:rsidR="008F2D8E" w:rsidRDefault="00071A3E" w:rsidP="00605C47">
      <w:pPr>
        <w:pStyle w:val="BodyText"/>
        <w:ind w:firstLine="0"/>
        <w:rPr>
          <w:rStyle w:val="Strong"/>
          <w:b w:val="0"/>
          <w:bCs w:val="0"/>
        </w:rPr>
      </w:pPr>
      <w:r>
        <w:rPr>
          <w:rStyle w:val="Strong"/>
          <w:b w:val="0"/>
          <w:bCs w:val="0"/>
        </w:rPr>
        <w:tab/>
      </w:r>
      <w:r w:rsidRPr="00071A3E">
        <w:rPr>
          <w:rStyle w:val="Strong"/>
          <w:b w:val="0"/>
          <w:bCs w:val="0"/>
        </w:rPr>
        <w:t xml:space="preserve">In an attempt to curtail the growth of such spending and reduce total </w:t>
      </w:r>
      <w:r w:rsidR="00114099">
        <w:rPr>
          <w:rStyle w:val="Strong"/>
          <w:b w:val="0"/>
          <w:bCs w:val="0"/>
        </w:rPr>
        <w:t xml:space="preserve">integrative </w:t>
      </w:r>
      <w:r w:rsidR="00164B89">
        <w:rPr>
          <w:rStyle w:val="Strong"/>
          <w:b w:val="0"/>
          <w:bCs w:val="0"/>
        </w:rPr>
        <w:t xml:space="preserve">health system and </w:t>
      </w:r>
      <w:r w:rsidR="00114099">
        <w:rPr>
          <w:rStyle w:val="Strong"/>
          <w:b w:val="0"/>
          <w:bCs w:val="0"/>
        </w:rPr>
        <w:t>primary care clinical</w:t>
      </w:r>
      <w:r w:rsidRPr="00071A3E">
        <w:rPr>
          <w:rStyle w:val="Strong"/>
          <w:b w:val="0"/>
          <w:bCs w:val="0"/>
        </w:rPr>
        <w:t xml:space="preserve"> spending, recent studies have focused on improving care for patients with preventable utilization</w:t>
      </w:r>
      <w:r w:rsidR="00FA586F">
        <w:rPr>
          <w:rStyle w:val="Strong"/>
          <w:b w:val="0"/>
          <w:bCs w:val="0"/>
        </w:rPr>
        <w:t xml:space="preserve"> (Zhang et al., 2022)</w:t>
      </w:r>
      <w:r w:rsidRPr="00071A3E">
        <w:rPr>
          <w:rStyle w:val="Strong"/>
          <w:b w:val="0"/>
          <w:bCs w:val="0"/>
        </w:rPr>
        <w:t xml:space="preserve">. Such utilization includes preventable emergency department visits, which are typically utilized </w:t>
      </w:r>
      <w:r w:rsidRPr="00071A3E">
        <w:rPr>
          <w:rStyle w:val="Strong"/>
          <w:b w:val="0"/>
          <w:bCs w:val="0"/>
        </w:rPr>
        <w:lastRenderedPageBreak/>
        <w:t xml:space="preserve">to manage uncontrollable chronic conditions such as diabetes and hypertension; however, such conditions can be managed through </w:t>
      </w:r>
      <w:r w:rsidR="00114099">
        <w:rPr>
          <w:rStyle w:val="Strong"/>
          <w:b w:val="0"/>
          <w:bCs w:val="0"/>
        </w:rPr>
        <w:t xml:space="preserve">integrative </w:t>
      </w:r>
      <w:r w:rsidRPr="00071A3E">
        <w:rPr>
          <w:rStyle w:val="Strong"/>
          <w:b w:val="0"/>
          <w:bCs w:val="0"/>
        </w:rPr>
        <w:t>primary care and medication. Previous studies have shown that 5-10% of Medicare spending was linked to preventable hospitalizations and emergency room visits</w:t>
      </w:r>
      <w:r w:rsidR="00FA586F">
        <w:rPr>
          <w:rStyle w:val="Strong"/>
          <w:b w:val="0"/>
          <w:bCs w:val="0"/>
        </w:rPr>
        <w:t xml:space="preserve"> (</w:t>
      </w:r>
      <w:r w:rsidR="00F37612">
        <w:rPr>
          <w:rStyle w:val="Strong"/>
          <w:b w:val="0"/>
          <w:bCs w:val="0"/>
        </w:rPr>
        <w:t xml:space="preserve">Culter et al, 2018; </w:t>
      </w:r>
      <w:r w:rsidR="00FA586F">
        <w:rPr>
          <w:rStyle w:val="Strong"/>
          <w:b w:val="0"/>
          <w:bCs w:val="0"/>
        </w:rPr>
        <w:t>Zhang et al., 2022).</w:t>
      </w:r>
      <w:r w:rsidR="00381BE9" w:rsidRPr="00381BE9">
        <w:rPr>
          <w:rStyle w:val="Strong"/>
          <w:b w:val="0"/>
          <w:bCs w:val="0"/>
        </w:rPr>
        <w:t xml:space="preserve"> </w:t>
      </w:r>
    </w:p>
    <w:p w14:paraId="5A96CD21" w14:textId="41C12F76" w:rsidR="002868A6" w:rsidRPr="00B2222F" w:rsidRDefault="00605C47" w:rsidP="00605C47">
      <w:pPr>
        <w:pStyle w:val="BodyText"/>
        <w:ind w:firstLine="0"/>
      </w:pPr>
      <w:r>
        <w:tab/>
      </w:r>
      <w:r w:rsidR="005A33FF" w:rsidRPr="005A33FF">
        <w:t>The U</w:t>
      </w:r>
      <w:r w:rsidR="006E46F1">
        <w:t>nited States</w:t>
      </w:r>
      <w:r w:rsidR="005A33FF" w:rsidRPr="005A33FF">
        <w:t xml:space="preserve"> invests less than 5% </w:t>
      </w:r>
      <w:r w:rsidR="005C23E4">
        <w:t xml:space="preserve">of its budget </w:t>
      </w:r>
      <w:r w:rsidR="005A33FF" w:rsidRPr="005A33FF">
        <w:t xml:space="preserve">in primary </w:t>
      </w:r>
      <w:r w:rsidR="005A33FF">
        <w:t>care</w:t>
      </w:r>
      <w:r w:rsidR="00060EAE">
        <w:t>, and b</w:t>
      </w:r>
      <w:r w:rsidR="003A5FC3" w:rsidRPr="003A5FC3">
        <w:t xml:space="preserve">y starving primary care </w:t>
      </w:r>
      <w:r w:rsidR="00114099">
        <w:t xml:space="preserve">clinics </w:t>
      </w:r>
      <w:r w:rsidR="003A5FC3" w:rsidRPr="003A5FC3">
        <w:t>of funding, the U</w:t>
      </w:r>
      <w:r w:rsidR="00AA0663">
        <w:t>nited States</w:t>
      </w:r>
      <w:r w:rsidR="003A5FC3" w:rsidRPr="003A5FC3">
        <w:t xml:space="preserve"> essentially weakens the community health centers</w:t>
      </w:r>
      <w:r w:rsidR="00FE275B">
        <w:t xml:space="preserve"> </w:t>
      </w:r>
      <w:r w:rsidR="003A5FC3" w:rsidRPr="003A5FC3">
        <w:t>and</w:t>
      </w:r>
      <w:r w:rsidR="00FE275B">
        <w:t xml:space="preserve"> </w:t>
      </w:r>
      <w:r w:rsidR="00C171E0">
        <w:t xml:space="preserve">primary care clinics </w:t>
      </w:r>
      <w:r w:rsidR="00634D0F">
        <w:t>that</w:t>
      </w:r>
      <w:r w:rsidR="003A5FC3" w:rsidRPr="003A5FC3">
        <w:t xml:space="preserve"> serve as the first line of defense</w:t>
      </w:r>
      <w:r w:rsidR="00567FA8">
        <w:t xml:space="preserve"> (NACHC</w:t>
      </w:r>
      <w:r w:rsidR="0054269C">
        <w:t>, 2025)</w:t>
      </w:r>
      <w:r w:rsidR="0076635F">
        <w:t xml:space="preserve">. </w:t>
      </w:r>
      <w:r w:rsidR="003A5FC3" w:rsidRPr="003A5FC3">
        <w:t xml:space="preserve">When these local </w:t>
      </w:r>
      <w:r w:rsidR="002F5ADF">
        <w:t xml:space="preserve">primary care </w:t>
      </w:r>
      <w:r w:rsidR="003A5FC3" w:rsidRPr="003A5FC3">
        <w:t>clinics lack the resources to staff up or stay open, patients lose their primary point of contact for chronic disease management and routine screenings</w:t>
      </w:r>
      <w:r w:rsidR="00CC1DEF">
        <w:t xml:space="preserve"> (NACHC, 202</w:t>
      </w:r>
      <w:r w:rsidR="00F11857">
        <w:t>5)</w:t>
      </w:r>
      <w:r w:rsidR="0074368E">
        <w:t>.</w:t>
      </w:r>
    </w:p>
    <w:p w14:paraId="38380DC8" w14:textId="77777777" w:rsidR="00927769" w:rsidRPr="0050529B" w:rsidRDefault="00927769" w:rsidP="00927849">
      <w:pPr>
        <w:pStyle w:val="APALevel2"/>
      </w:pPr>
      <w:r w:rsidRPr="0050529B">
        <w:t>Operational Problem</w:t>
      </w:r>
    </w:p>
    <w:p w14:paraId="3C6E2F0C" w14:textId="2B46AAD8" w:rsidR="00DE0ACE" w:rsidRDefault="004302C3" w:rsidP="008E6F99">
      <w:pPr>
        <w:pStyle w:val="BodyText"/>
      </w:pPr>
      <w:r>
        <w:t xml:space="preserve">Some </w:t>
      </w:r>
      <w:r w:rsidRPr="00C55A78">
        <w:t xml:space="preserve">patients may </w:t>
      </w:r>
      <w:r w:rsidR="00FE275B">
        <w:t>become</w:t>
      </w:r>
      <w:r w:rsidR="00FE275B" w:rsidRPr="00C55A78">
        <w:t xml:space="preserve"> </w:t>
      </w:r>
      <w:r w:rsidRPr="00C55A78">
        <w:t xml:space="preserve">frustrated and either stop taking the medication or do not </w:t>
      </w:r>
      <w:r w:rsidR="00BD0DD6">
        <w:t>start</w:t>
      </w:r>
      <w:r w:rsidR="00BD0DD6" w:rsidRPr="00C55A78">
        <w:t xml:space="preserve"> </w:t>
      </w:r>
      <w:r w:rsidRPr="00C55A78">
        <w:t>medication as prescribed, which is not good for the patients</w:t>
      </w:r>
      <w:r w:rsidR="00FB6752">
        <w:t>’</w:t>
      </w:r>
      <w:r w:rsidRPr="00C55A78">
        <w:t xml:space="preserve"> health</w:t>
      </w:r>
      <w:r w:rsidR="00BD0DD6">
        <w:t xml:space="preserve"> and leads to increased costs on health systems (Culter et al, 2018)</w:t>
      </w:r>
      <w:r w:rsidRPr="00C55A78">
        <w:t xml:space="preserve">. </w:t>
      </w:r>
      <w:r>
        <w:t>M</w:t>
      </w:r>
      <w:r w:rsidRPr="00C55A78">
        <w:t xml:space="preserve">edication non-adherence is associated with almost 25% of hospital admissions, 50% of treatment failures, and about 125,000 deaths in </w:t>
      </w:r>
      <w:r w:rsidR="00E2580A">
        <w:t>the</w:t>
      </w:r>
      <w:r w:rsidR="00E2580A" w:rsidRPr="00C55A78">
        <w:t xml:space="preserve"> country</w:t>
      </w:r>
      <w:r w:rsidRPr="00C55A78">
        <w:t xml:space="preserve">. </w:t>
      </w:r>
      <w:r w:rsidR="001E75F1" w:rsidRPr="001E75F1">
        <w:t xml:space="preserve">Medication </w:t>
      </w:r>
      <w:r w:rsidR="00E300BB">
        <w:t>nonadherence imposes a costly burden on</w:t>
      </w:r>
      <w:r w:rsidR="007F34F1">
        <w:t xml:space="preserve"> integra</w:t>
      </w:r>
      <w:r w:rsidR="004A4317">
        <w:t>t</w:t>
      </w:r>
      <w:r w:rsidR="007F34F1">
        <w:t>ed</w:t>
      </w:r>
      <w:r w:rsidR="00FE275B">
        <w:t xml:space="preserve"> health systems </w:t>
      </w:r>
      <w:r w:rsidR="007F34F1">
        <w:t>(Cutler et al., 2018)</w:t>
      </w:r>
      <w:r w:rsidR="00642A78">
        <w:t>.</w:t>
      </w:r>
      <w:r w:rsidR="001E75F1">
        <w:t xml:space="preserve"> </w:t>
      </w:r>
    </w:p>
    <w:p w14:paraId="1EFF866A" w14:textId="56C43C84" w:rsidR="00E5514A" w:rsidRDefault="00FE275B" w:rsidP="00E5514A">
      <w:pPr>
        <w:pStyle w:val="BodyText"/>
      </w:pPr>
      <w:r>
        <w:t xml:space="preserve">Because medication non-adherence increased organizational downstream costs between $2,512 to $25,920 primarily through frequent </w:t>
      </w:r>
      <w:r w:rsidR="00FB6752">
        <w:t>emergency room</w:t>
      </w:r>
      <w:r>
        <w:t xml:space="preserve"> visits, costs for extended inpatients stays and other services, many of such services land in bad debt (Culter et al, 2018), integrated primary care clinics play a pivotal role in impacting medication non-adherence. Achterbosch et al</w:t>
      </w:r>
      <w:r w:rsidR="00FB6752">
        <w:t>.</w:t>
      </w:r>
      <w:r>
        <w:t xml:space="preserve"> (2025) substantiated the increase costs of medication non-adherence to be between $100-$300 billion a year in avoidable </w:t>
      </w:r>
      <w:r>
        <w:lastRenderedPageBreak/>
        <w:t xml:space="preserve">expenditures. </w:t>
      </w:r>
      <w:r w:rsidR="00BC1C78">
        <w:t xml:space="preserve">A </w:t>
      </w:r>
      <w:r w:rsidR="004D63D5" w:rsidRPr="004D63D5">
        <w:t xml:space="preserve">cost analysis </w:t>
      </w:r>
      <w:r w:rsidR="00820086">
        <w:t>reported annual medication non-adherence costs incurred by the patient</w:t>
      </w:r>
      <w:r w:rsidR="004D63D5" w:rsidRPr="004D63D5">
        <w:t>. The adjusted total cost of non-adherence across all disease groups ranged from $949 to $</w:t>
      </w:r>
      <w:r w:rsidR="00C2683F">
        <w:t>52,341, while the unadjusted total cost ranged from $669 to $</w:t>
      </w:r>
      <w:r w:rsidR="000F37AB">
        <w:t>162,699</w:t>
      </w:r>
      <w:r w:rsidR="001E5B43">
        <w:t xml:space="preserve"> (Achterbosch et al</w:t>
      </w:r>
      <w:r w:rsidR="009E40DB">
        <w:t>.</w:t>
      </w:r>
      <w:r w:rsidR="001E5B43">
        <w:t>, 2025)</w:t>
      </w:r>
      <w:r w:rsidR="0061350A">
        <w:t>.</w:t>
      </w:r>
      <w:r w:rsidR="00E5514A">
        <w:t xml:space="preserve"> </w:t>
      </w:r>
      <w:r w:rsidR="004D63D5" w:rsidRPr="004D63D5">
        <w:t xml:space="preserve">All-cause costs encompass non-adherence costs incurred in </w:t>
      </w:r>
      <w:r w:rsidR="00F96679">
        <w:t xml:space="preserve">mixed-disease state studies, </w:t>
      </w:r>
      <w:r w:rsidR="00BC1C78">
        <w:t>accounting for other confounding factors such as comorbidities (Cutler et al.</w:t>
      </w:r>
      <w:r w:rsidR="00F96679">
        <w:t>, 2018)</w:t>
      </w:r>
      <w:r w:rsidR="004D63D5" w:rsidRPr="004D63D5">
        <w:t>.</w:t>
      </w:r>
      <w:r w:rsidR="008C2E1F">
        <w:t xml:space="preserve"> </w:t>
      </w:r>
    </w:p>
    <w:p w14:paraId="34388553" w14:textId="65D45CF8" w:rsidR="00042E1B" w:rsidRPr="00E5514A" w:rsidRDefault="00042E1B" w:rsidP="00E5514A">
      <w:pPr>
        <w:pStyle w:val="BodyText"/>
        <w:rPr>
          <w:b/>
          <w:bCs/>
        </w:rPr>
      </w:pPr>
      <w:r w:rsidRPr="00E5514A">
        <w:rPr>
          <w:b/>
          <w:bCs/>
        </w:rPr>
        <w:t>Ideal State of Operations</w:t>
      </w:r>
    </w:p>
    <w:p w14:paraId="1B4053FB" w14:textId="61A93101" w:rsidR="003D009C" w:rsidRDefault="008B6812" w:rsidP="005177AB">
      <w:pPr>
        <w:pStyle w:val="BodyText"/>
        <w:rPr>
          <w:b/>
        </w:rPr>
      </w:pPr>
      <w:r>
        <w:t xml:space="preserve">The ideal state of operations for integrated primary care clinics is a coordinated, patient-centered, and data-driven system that proactively supports medication adherence while minimizing administrative burden and avoidable costs. In this model, care delivery is enabled by integrated electronic health records, real-time data monitoring, and interdisciplinary collaboration among providers, pharmacists, and support staff, allowing for early identification of patients at risk for nonadherence and timely, targeted interventions. Standardized yet flexible workflows support evidence-based strategies such as medication reconciliation, patient education, and structured follow-up, while health information technology streamlines administrative processes, improves care coordination, and reduces inefficiencies. Additionally, high-performing clinics address social determinants of health, including cost, access, and health literacy barriers, and continuously evaluate performance using adherence, utilization, and cost metrics to guide improvement efforts. These characteristics align with best practices identified by the </w:t>
      </w:r>
      <w:r>
        <w:rPr>
          <w:rStyle w:val="whitespace-normal"/>
        </w:rPr>
        <w:t>Agency for Healthcare Research and Quality</w:t>
      </w:r>
      <w:r>
        <w:t xml:space="preserve">, which emphasize care coordination, health information technology, and patient engagement as key drivers of improved outcomes </w:t>
      </w:r>
      <w:r>
        <w:lastRenderedPageBreak/>
        <w:t>and reduced unnecessary healthcare utilization (Agency for Healthcare Research and Quality, 2023).</w:t>
      </w:r>
    </w:p>
    <w:p w14:paraId="6F9A0690" w14:textId="0DE293FC" w:rsidR="00042E1B" w:rsidRPr="00BA0348" w:rsidRDefault="00042E1B" w:rsidP="00927849">
      <w:pPr>
        <w:pStyle w:val="APALevel2"/>
      </w:pPr>
      <w:r w:rsidRPr="00BA0348">
        <w:t>Professional Practice Gap Statement</w:t>
      </w:r>
    </w:p>
    <w:p w14:paraId="0994D5A8" w14:textId="77777777" w:rsidR="005177AB" w:rsidRDefault="008B6812" w:rsidP="005177AB">
      <w:pPr>
        <w:spacing w:line="480" w:lineRule="auto"/>
        <w:ind w:firstLine="720"/>
        <w:contextualSpacing/>
      </w:pPr>
      <w:r>
        <w:t>Integrated primary care clinics face a significant healthcare administration problem due to high rates of medication nonadherence, which drive increased administrative costs, inefficient resource utilization, and avoidable healthcare spending. Baseline adherence rates as low as 42% indicate substantial gaps in care processes, contributing to downstream operational inefficiencies and excess utilization (Blecker et al., 2021). The ideal state of operations is a coordinated, data-driven care model in which medication adherence exceeds 80% through the use of integrated health information technology, targeted interventions, and interdisciplinary care coordination to reduce administrative burden and improve cost efficiency (Blecker et al., 2021).</w:t>
      </w:r>
    </w:p>
    <w:p w14:paraId="1CEB037F" w14:textId="46A6D70D" w:rsidR="00FD77AF" w:rsidRPr="00FD77AF" w:rsidRDefault="00370BD4" w:rsidP="00927849">
      <w:pPr>
        <w:pStyle w:val="APALevel2"/>
        <w:rPr>
          <w:bCs/>
        </w:rPr>
      </w:pPr>
      <w:r w:rsidRPr="00370BD4">
        <w:t>Summary</w:t>
      </w:r>
      <w:r w:rsidR="00042E1B" w:rsidRPr="00370BD4">
        <w:t xml:space="preserve"> of Evidence</w:t>
      </w:r>
    </w:p>
    <w:p w14:paraId="2019E966" w14:textId="42A640B8" w:rsidR="00176486" w:rsidRDefault="00F4194D" w:rsidP="00FD77AF">
      <w:pPr>
        <w:spacing w:line="480" w:lineRule="auto"/>
        <w:ind w:firstLine="720"/>
        <w:contextualSpacing/>
      </w:pPr>
      <w:r w:rsidRPr="00F4194D">
        <w:t>National health expenditures are expected to rise by 8.2</w:t>
      </w:r>
      <w:r w:rsidR="003D0365">
        <w:t xml:space="preserve">% </w:t>
      </w:r>
      <w:r w:rsidRPr="00F4194D">
        <w:t>in 2024 and by 7.1</w:t>
      </w:r>
      <w:r w:rsidR="003D0365">
        <w:t xml:space="preserve">% </w:t>
      </w:r>
      <w:r w:rsidRPr="00F4194D">
        <w:t>in 2025, continuing the strong growth rates in the utilization of health care services and products</w:t>
      </w:r>
      <w:r w:rsidR="000D52CC">
        <w:t xml:space="preserve"> (Keehan et al., 2025)</w:t>
      </w:r>
      <w:r w:rsidRPr="00F4194D">
        <w:t>. From 2026 to 2027, the growth in health spending is expected to average 5.6</w:t>
      </w:r>
      <w:r w:rsidR="003D0365">
        <w:t>%</w:t>
      </w:r>
      <w:r w:rsidRPr="00F4194D">
        <w:t>, driven by the reduction in the percentage of the population with health insurance (due to the expiration of temporarily improved Marketplace premium tax credits in the Inflation Reduction Act of 2022) and the expected slowdown in the growth in the utilization of health care services and products</w:t>
      </w:r>
      <w:r w:rsidR="00BD6FB2">
        <w:t>.</w:t>
      </w:r>
      <w:r w:rsidRPr="00F4194D">
        <w:t xml:space="preserve"> </w:t>
      </w:r>
      <w:r w:rsidR="003E1032">
        <w:tab/>
      </w:r>
      <w:r w:rsidR="00176486">
        <w:t xml:space="preserve"> </w:t>
      </w:r>
    </w:p>
    <w:p w14:paraId="660E9B1C" w14:textId="4D022C16" w:rsidR="007C4347" w:rsidRDefault="00176486" w:rsidP="007C4347">
      <w:pPr>
        <w:spacing w:line="480" w:lineRule="auto"/>
        <w:ind w:firstLine="720"/>
        <w:contextualSpacing/>
      </w:pPr>
      <w:r>
        <w:t xml:space="preserve">National healthcare expenditures rose </w:t>
      </w:r>
      <w:r w:rsidR="003E1032" w:rsidRPr="003E1032">
        <w:t>almost 3 percentage points faster than the gross domestic product growth rate of 5.3</w:t>
      </w:r>
      <w:r w:rsidR="00A77785">
        <w:t>%</w:t>
      </w:r>
      <w:r w:rsidR="003E1032" w:rsidRPr="003E1032">
        <w:t>, and surpassed $5 trillion</w:t>
      </w:r>
      <w:r w:rsidR="0076635F" w:rsidRPr="003E1032">
        <w:t xml:space="preserve">. </w:t>
      </w:r>
      <w:r w:rsidR="007C4347" w:rsidRPr="007C4347">
        <w:t xml:space="preserve">Medication nonadherence contributes significantly to increased healthcare utilization and </w:t>
      </w:r>
      <w:r w:rsidR="007C4347" w:rsidRPr="007C4347">
        <w:lastRenderedPageBreak/>
        <w:t xml:space="preserve">administrative burden, with estimates indicating that it accounts for over $100 to $300 billion annually in avoidable healthcare expenditures (Achterbosch et al., 2025; Cutler et al., 2018). Nonadherence is associated with up to 25% of hospital admissions, 50% of treatment failures, and approximately 125,000 deaths annually, driving preventable emergency department visits and hospitalizations that require additional care coordination and administrative oversight within primary care settings (Cutler et al., 2018). </w:t>
      </w:r>
    </w:p>
    <w:p w14:paraId="1581EAB9" w14:textId="5CF60AF1" w:rsidR="00FD77AF" w:rsidRDefault="007C4347" w:rsidP="007C4347">
      <w:pPr>
        <w:spacing w:line="480" w:lineRule="auto"/>
        <w:ind w:firstLine="720"/>
        <w:contextualSpacing/>
      </w:pPr>
      <w:r w:rsidRPr="007C4347">
        <w:t>At the patient level, nonadherence results in increased total healthcare costs, with adjusted annual costs ranging from $949 to over $52,000 depending on disease burden and comorbidities, further contributing to operational inefficiencies for healthcare organizations (Achterbosch et al., 2025). Additionally, baseline adherence rates as low as 42% highlight a substantial performance gap, as adherence can exceed 80% when targeted interventions are implemented, demonstrating a clear opportunity for healthcare administrators to improve outcomes while reducing unnecessary utilization and costs (Blecker et al., 2021). Collectively, the evidence supports a focused healthcare administration problem centered on reducing the operational and financial impact of medication nonadherence within integrated primary care clinics.</w:t>
      </w:r>
    </w:p>
    <w:p w14:paraId="062B5687" w14:textId="3309AEC1" w:rsidR="00B14EF8" w:rsidRPr="00FD77AF" w:rsidRDefault="00A604D5" w:rsidP="00927849">
      <w:pPr>
        <w:pStyle w:val="APALevel1"/>
      </w:pPr>
      <w:r w:rsidRPr="00FD77AF">
        <w:t>Purpose of the Integrative Review</w:t>
      </w:r>
    </w:p>
    <w:p w14:paraId="4C5E7434" w14:textId="7DA1ADF1" w:rsidR="006D11BB" w:rsidRPr="00586C7C" w:rsidRDefault="00C80CF6" w:rsidP="00586C7C">
      <w:pPr>
        <w:pStyle w:val="BodyText"/>
      </w:pPr>
      <w:r w:rsidRPr="008F5B5A">
        <w:t xml:space="preserve">The purpose of this integrative review </w:t>
      </w:r>
      <w:r w:rsidR="008666D2">
        <w:t>wa</w:t>
      </w:r>
      <w:r w:rsidRPr="008F5B5A">
        <w:t xml:space="preserve">s to identify potential strategies to reduce costs associated with medication nonadherence among patients in </w:t>
      </w:r>
      <w:r w:rsidR="007C4347">
        <w:t xml:space="preserve">integrated </w:t>
      </w:r>
      <w:r w:rsidR="00732AD5">
        <w:t>primary care</w:t>
      </w:r>
      <w:r w:rsidRPr="008F5B5A">
        <w:t xml:space="preserve"> </w:t>
      </w:r>
      <w:r w:rsidR="00C7375E">
        <w:t>clinics. Medication</w:t>
      </w:r>
      <w:r w:rsidR="00BB4326" w:rsidRPr="008F5B5A">
        <w:t xml:space="preserve"> nonadherence accounts for more than 125,000 deaths annually, 25% of recurrent hospital admissions, or readmissions, and </w:t>
      </w:r>
      <w:r w:rsidR="006D6D4C">
        <w:t xml:space="preserve">between </w:t>
      </w:r>
      <w:r w:rsidR="00BB4326" w:rsidRPr="008F5B5A">
        <w:t>$</w:t>
      </w:r>
      <w:r w:rsidR="00EB3DC7">
        <w:t>1</w:t>
      </w:r>
      <w:r w:rsidR="00BB4326" w:rsidRPr="008F5B5A">
        <w:t>00</w:t>
      </w:r>
      <w:r w:rsidR="00EB3DC7">
        <w:t>-$300</w:t>
      </w:r>
      <w:r w:rsidR="00BB4326" w:rsidRPr="008F5B5A">
        <w:t xml:space="preserve"> billion in annual revenues (</w:t>
      </w:r>
      <w:r w:rsidR="00BB4326">
        <w:t>Magellan Health</w:t>
      </w:r>
      <w:r w:rsidR="00BB4326" w:rsidRPr="008F5B5A">
        <w:t>, 202</w:t>
      </w:r>
      <w:r w:rsidR="00BB4326">
        <w:t>6</w:t>
      </w:r>
      <w:r w:rsidR="00BB4326" w:rsidRPr="008F5B5A">
        <w:t>)</w:t>
      </w:r>
      <w:r w:rsidR="00BB4326">
        <w:t>.</w:t>
      </w:r>
    </w:p>
    <w:p w14:paraId="04548AAA" w14:textId="13B40B22" w:rsidR="00C47E45" w:rsidRPr="00586C7C" w:rsidRDefault="00C47E45" w:rsidP="00445932">
      <w:pPr>
        <w:pStyle w:val="APALevel1"/>
      </w:pPr>
      <w:bookmarkStart w:id="4" w:name="_Toc130372391"/>
      <w:r w:rsidRPr="00586C7C">
        <w:lastRenderedPageBreak/>
        <w:t xml:space="preserve">Integrative Review </w:t>
      </w:r>
      <w:r w:rsidR="00275376" w:rsidRPr="00586C7C">
        <w:t>Question</w:t>
      </w:r>
      <w:bookmarkEnd w:id="4"/>
    </w:p>
    <w:p w14:paraId="22FB27C0" w14:textId="3D311D99" w:rsidR="006B63B5" w:rsidRPr="00445932" w:rsidRDefault="00C80CF6" w:rsidP="00927849">
      <w:pPr>
        <w:pStyle w:val="BodyText"/>
      </w:pPr>
      <w:r w:rsidRPr="008F5B5A">
        <w:rPr>
          <w:rFonts w:eastAsia="Calibri"/>
        </w:rPr>
        <w:t>What strategies could be implemented in a</w:t>
      </w:r>
      <w:r w:rsidR="00732AD5">
        <w:rPr>
          <w:rFonts w:eastAsia="Calibri"/>
        </w:rPr>
        <w:t>n</w:t>
      </w:r>
      <w:r w:rsidRPr="008F5B5A">
        <w:rPr>
          <w:rFonts w:eastAsia="Calibri"/>
        </w:rPr>
        <w:t xml:space="preserve"> </w:t>
      </w:r>
      <w:r w:rsidR="00321A2C">
        <w:rPr>
          <w:rFonts w:eastAsia="Calibri"/>
        </w:rPr>
        <w:t xml:space="preserve">integrated primary care </w:t>
      </w:r>
      <w:r w:rsidRPr="008F5B5A">
        <w:rPr>
          <w:rFonts w:eastAsia="Calibri"/>
        </w:rPr>
        <w:t>clinic</w:t>
      </w:r>
      <w:r w:rsidRPr="008F5B5A">
        <w:rPr>
          <w:bCs/>
        </w:rPr>
        <w:t xml:space="preserve"> to</w:t>
      </w:r>
      <w:r w:rsidRPr="008F5B5A">
        <w:rPr>
          <w:rFonts w:eastAsia="Calibri"/>
        </w:rPr>
        <w:t xml:space="preserve"> reduce administrative costs related to </w:t>
      </w:r>
      <w:r w:rsidR="00825668">
        <w:rPr>
          <w:rFonts w:eastAsia="Calibri"/>
        </w:rPr>
        <w:t xml:space="preserve">patient </w:t>
      </w:r>
      <w:r w:rsidRPr="008F5B5A">
        <w:rPr>
          <w:rFonts w:eastAsia="Calibri"/>
        </w:rPr>
        <w:t>medication nonadherence?</w:t>
      </w:r>
    </w:p>
    <w:p w14:paraId="40981D9E" w14:textId="4074AFF0" w:rsidR="00CF28A4" w:rsidRDefault="00C53451" w:rsidP="00CF28A4">
      <w:pPr>
        <w:pStyle w:val="APALevel1"/>
      </w:pPr>
      <w:bookmarkStart w:id="5" w:name="_Toc130372392"/>
      <w:r>
        <w:t>Theoretical Framework</w:t>
      </w:r>
      <w:bookmarkEnd w:id="5"/>
    </w:p>
    <w:p w14:paraId="188DCDB1" w14:textId="76E527C0" w:rsidR="00E24D3E" w:rsidRDefault="002A4EF2" w:rsidP="002A4EF2">
      <w:pPr>
        <w:pStyle w:val="BodyText"/>
      </w:pPr>
      <w:r w:rsidRPr="008F5B5A">
        <w:t xml:space="preserve">The theory guiding this </w:t>
      </w:r>
      <w:r w:rsidR="007C5CAD">
        <w:t xml:space="preserve">integrative </w:t>
      </w:r>
      <w:r w:rsidR="005A2788">
        <w:t>review</w:t>
      </w:r>
      <w:r w:rsidRPr="008F5B5A">
        <w:t xml:space="preserve"> </w:t>
      </w:r>
      <w:r w:rsidR="008666D2">
        <w:t>wa</w:t>
      </w:r>
      <w:r w:rsidRPr="008F5B5A">
        <w:t xml:space="preserve">s the </w:t>
      </w:r>
      <w:r w:rsidR="00A33449">
        <w:t>g</w:t>
      </w:r>
      <w:r w:rsidRPr="008F5B5A">
        <w:t xml:space="preserve">eneral </w:t>
      </w:r>
      <w:r w:rsidR="00A33449">
        <w:t>s</w:t>
      </w:r>
      <w:r w:rsidRPr="008F5B5A">
        <w:t xml:space="preserve">ystems </w:t>
      </w:r>
      <w:r w:rsidR="00A33449">
        <w:t>t</w:t>
      </w:r>
      <w:r w:rsidRPr="008F5B5A">
        <w:t>heory</w:t>
      </w:r>
      <w:r w:rsidR="006357AE">
        <w:t xml:space="preserve"> (GST)</w:t>
      </w:r>
      <w:r w:rsidRPr="008F5B5A">
        <w:t xml:space="preserve">, as developed by Ludwig Von Bertalanffy (1969). The </w:t>
      </w:r>
      <w:r w:rsidR="00034FB1">
        <w:t>GST</w:t>
      </w:r>
      <w:r w:rsidRPr="008F5B5A">
        <w:t xml:space="preserve"> </w:t>
      </w:r>
      <w:r w:rsidR="00034FB1">
        <w:t>i</w:t>
      </w:r>
      <w:r w:rsidR="008666D2">
        <w:t>s</w:t>
      </w:r>
      <w:r w:rsidRPr="008F5B5A">
        <w:t xml:space="preserve"> an interdisciplinary approach developed in the 20th century that aims to understand the basic principles behind the origin, operation, and maintenance of both natural and social systems. This theory defines a system as a set of interconnected parts that together form a complex whole. The framework centers on the value of including multiple system-based factors to evaluate strategies integrated within a managerial or administrative capacity. </w:t>
      </w:r>
      <w:r w:rsidRPr="008F5B5A">
        <w:rPr>
          <w:rFonts w:eastAsia="Calibri"/>
        </w:rPr>
        <w:t>The key constructs of the framework are holistic view, open systems, feedback loops, self-regulation, adaptability, and equifinality (</w:t>
      </w:r>
      <w:r>
        <w:rPr>
          <w:rFonts w:eastAsia="Calibri"/>
        </w:rPr>
        <w:t>Issitt</w:t>
      </w:r>
      <w:r w:rsidRPr="008F5B5A">
        <w:rPr>
          <w:rFonts w:eastAsia="Calibri"/>
        </w:rPr>
        <w:t>, 202</w:t>
      </w:r>
      <w:r>
        <w:rPr>
          <w:rFonts w:eastAsia="Calibri"/>
        </w:rPr>
        <w:t>4</w:t>
      </w:r>
      <w:r w:rsidRPr="008F5B5A">
        <w:rPr>
          <w:rFonts w:eastAsia="Calibri"/>
        </w:rPr>
        <w:t>).</w:t>
      </w:r>
      <w:r w:rsidRPr="008F5B5A">
        <w:t xml:space="preserve"> </w:t>
      </w:r>
      <w:r w:rsidRPr="008F5B5A">
        <w:rPr>
          <w:bCs/>
        </w:rPr>
        <w:t xml:space="preserve">This framework relates to my </w:t>
      </w:r>
      <w:r w:rsidR="007C5CAD">
        <w:rPr>
          <w:bCs/>
        </w:rPr>
        <w:t xml:space="preserve">integrative </w:t>
      </w:r>
      <w:r w:rsidR="005B5CEE">
        <w:rPr>
          <w:bCs/>
        </w:rPr>
        <w:t>review</w:t>
      </w:r>
      <w:r w:rsidRPr="008F5B5A">
        <w:rPr>
          <w:bCs/>
        </w:rPr>
        <w:t xml:space="preserve"> through the contextualization of administrative systems, including internal and external factors that may be related to oversight of medication adherence to reduce clinic costs. </w:t>
      </w:r>
      <w:r w:rsidR="00034FB1">
        <w:t>GST</w:t>
      </w:r>
      <w:r w:rsidRPr="008F5B5A">
        <w:t xml:space="preserve"> </w:t>
      </w:r>
      <w:r w:rsidR="00194A11">
        <w:t>i</w:t>
      </w:r>
      <w:r w:rsidR="008666D2">
        <w:t>s</w:t>
      </w:r>
      <w:r w:rsidRPr="008F5B5A">
        <w:t xml:space="preserve"> a comprehensive field that studies systems as complete entities, rather than analyzing individual components, functions, or processes separately in a mechanistic way (</w:t>
      </w:r>
      <w:r>
        <w:t>Issitt,</w:t>
      </w:r>
      <w:r w:rsidRPr="008F5B5A">
        <w:t xml:space="preserve"> 202</w:t>
      </w:r>
      <w:r>
        <w:t>4</w:t>
      </w:r>
      <w:r w:rsidRPr="008F5B5A">
        <w:t xml:space="preserve">). </w:t>
      </w:r>
    </w:p>
    <w:p w14:paraId="7FDA6E95" w14:textId="6AEABDCF" w:rsidR="00216056" w:rsidRDefault="002A4EF2" w:rsidP="002A4EF2">
      <w:pPr>
        <w:pStyle w:val="BodyText"/>
      </w:pPr>
      <w:r w:rsidRPr="008F5B5A">
        <w:t xml:space="preserve">A key concept in </w:t>
      </w:r>
      <w:r w:rsidR="00653D47">
        <w:t>GST</w:t>
      </w:r>
      <w:r w:rsidRPr="008F5B5A">
        <w:t xml:space="preserve"> </w:t>
      </w:r>
      <w:r w:rsidR="00194A11">
        <w:t>i</w:t>
      </w:r>
      <w:r w:rsidR="008666D2">
        <w:t>s</w:t>
      </w:r>
      <w:r w:rsidRPr="008F5B5A">
        <w:t xml:space="preserve"> the idea of an open system, which can both influence and be influenced by its environment. For example, a cell </w:t>
      </w:r>
      <w:r w:rsidR="008666D2">
        <w:t>was</w:t>
      </w:r>
      <w:r w:rsidRPr="008F5B5A">
        <w:t xml:space="preserve"> an open system because it </w:t>
      </w:r>
      <w:r w:rsidR="008666D2">
        <w:t>was</w:t>
      </w:r>
      <w:r w:rsidRPr="008F5B5A">
        <w:t xml:space="preserve"> enclosed by a </w:t>
      </w:r>
      <w:r>
        <w:t>semi-permeable</w:t>
      </w:r>
      <w:r w:rsidRPr="008F5B5A">
        <w:t xml:space="preserve"> membrane, allowing it to take in inputs such as food, heat, electromagnetic waves, and kinetic energy from its surroundings, and also produce outputs that impact the environment (Systems Thinking Alliance, </w:t>
      </w:r>
      <w:r w:rsidR="00326E8E">
        <w:t>2024</w:t>
      </w:r>
      <w:r w:rsidRPr="008F5B5A">
        <w:t xml:space="preserve">). Many natural </w:t>
      </w:r>
      <w:r w:rsidRPr="008F5B5A">
        <w:lastRenderedPageBreak/>
        <w:t xml:space="preserve">systems are open, such as the Earth, which </w:t>
      </w:r>
      <w:r w:rsidR="000F646F">
        <w:t>is</w:t>
      </w:r>
      <w:r w:rsidRPr="008F5B5A">
        <w:t xml:space="preserve"> surrounded by an atmosphere that allows exchange with space. Social systems, such as businesses, peer groups, and families, also function as open systems (Ludwig von Bertalanffy, 1969).</w:t>
      </w:r>
      <w:r w:rsidR="00E24D3E">
        <w:t xml:space="preserve"> </w:t>
      </w:r>
      <w:bookmarkStart w:id="6" w:name="_Toc130372393"/>
      <w:r w:rsidR="00216056">
        <w:br w:type="page"/>
      </w:r>
    </w:p>
    <w:p w14:paraId="1957E1E2" w14:textId="00F5E680" w:rsidR="00B14EF8" w:rsidRDefault="00042E1B" w:rsidP="00216056">
      <w:pPr>
        <w:pStyle w:val="APALevel0"/>
      </w:pPr>
      <w:r>
        <w:lastRenderedPageBreak/>
        <w:t xml:space="preserve">Part 2: </w:t>
      </w:r>
      <w:r w:rsidR="009C2F74">
        <w:t>Literature Review</w:t>
      </w:r>
      <w:r w:rsidR="00522434">
        <w:t xml:space="preserve">, </w:t>
      </w:r>
      <w:r w:rsidR="001A0549">
        <w:t xml:space="preserve">Quality </w:t>
      </w:r>
      <w:r w:rsidR="00152517">
        <w:t>Appraisal</w:t>
      </w:r>
      <w:r w:rsidR="001B4B43">
        <w:t>,</w:t>
      </w:r>
      <w:r w:rsidR="00522434">
        <w:t xml:space="preserve"> and Analysis</w:t>
      </w:r>
      <w:bookmarkEnd w:id="6"/>
    </w:p>
    <w:p w14:paraId="018988E7" w14:textId="054E75F8" w:rsidR="00C97618" w:rsidRPr="00BA0348" w:rsidRDefault="00C97618" w:rsidP="00927849">
      <w:pPr>
        <w:pStyle w:val="APALevel1"/>
      </w:pPr>
      <w:r w:rsidRPr="00BA0348">
        <w:t>Literature Search Strategy</w:t>
      </w:r>
    </w:p>
    <w:p w14:paraId="7A0778F2" w14:textId="74555073" w:rsidR="00445932" w:rsidRDefault="002A4EF2" w:rsidP="00445932">
      <w:pPr>
        <w:pStyle w:val="BodyText"/>
      </w:pPr>
      <w:r w:rsidRPr="008F5B5A">
        <w:t xml:space="preserve">The literature search strategy comprised articles from scholarly databases. Inclusion </w:t>
      </w:r>
      <w:r w:rsidR="007C5CAD">
        <w:t xml:space="preserve">and exclusion criteria for the search </w:t>
      </w:r>
      <w:r w:rsidR="006B5EAB">
        <w:t>are</w:t>
      </w:r>
      <w:r w:rsidR="007C5CAD">
        <w:t xml:space="preserve"> shown in Table 1</w:t>
      </w:r>
      <w:r w:rsidRPr="008F5B5A">
        <w:t xml:space="preserve">. The comprehensive search strategy developed to identify scholarly articles for this integrative literature review was designed to ensure that the articles were empirical and aligned with the </w:t>
      </w:r>
      <w:r w:rsidR="007C5CAD">
        <w:t>integrative review</w:t>
      </w:r>
      <w:r w:rsidR="006B2000">
        <w:t>’</w:t>
      </w:r>
      <w:r w:rsidRPr="008F5B5A">
        <w:t xml:space="preserve">s topic, which sought provider cost-reduction strategies related to patient medication nonadherence. </w:t>
      </w:r>
    </w:p>
    <w:p w14:paraId="305F62DA" w14:textId="2DAA5083" w:rsidR="00503D25" w:rsidRPr="00503D25" w:rsidRDefault="00920D66" w:rsidP="00503D25">
      <w:pPr>
        <w:pStyle w:val="Caption"/>
        <w:rPr>
          <w:i/>
        </w:rPr>
      </w:pPr>
      <w:bookmarkStart w:id="7" w:name="_Toc41534924"/>
      <w:bookmarkStart w:id="8" w:name="_Toc41650547"/>
      <w:r w:rsidRPr="00883FE3">
        <w:rPr>
          <w:b/>
          <w:bCs w:val="0"/>
        </w:rPr>
        <w:t xml:space="preserve">Table </w:t>
      </w:r>
      <w:r w:rsidRPr="00883FE3">
        <w:rPr>
          <w:b/>
          <w:bCs w:val="0"/>
        </w:rPr>
        <w:fldChar w:fldCharType="begin"/>
      </w:r>
      <w:r w:rsidRPr="00883FE3">
        <w:rPr>
          <w:b/>
          <w:bCs w:val="0"/>
        </w:rPr>
        <w:instrText xml:space="preserve"> SEQ Table \* ARABIC </w:instrText>
      </w:r>
      <w:r w:rsidRPr="00883FE3">
        <w:rPr>
          <w:b/>
          <w:bCs w:val="0"/>
        </w:rPr>
        <w:fldChar w:fldCharType="separate"/>
      </w:r>
      <w:r w:rsidR="00822076">
        <w:rPr>
          <w:b/>
          <w:bCs w:val="0"/>
          <w:noProof/>
        </w:rPr>
        <w:t>1</w:t>
      </w:r>
      <w:r w:rsidRPr="00883FE3">
        <w:rPr>
          <w:b/>
          <w:bCs w:val="0"/>
        </w:rPr>
        <w:fldChar w:fldCharType="end"/>
      </w:r>
      <w:r>
        <w:br/>
      </w:r>
      <w:bookmarkEnd w:id="7"/>
      <w:bookmarkEnd w:id="8"/>
      <w:r>
        <w:rPr>
          <w:i/>
          <w:iCs/>
        </w:rPr>
        <w:t>Inclusion and Exclusion Search Criteria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920D66" w14:paraId="541A84F9" w14:textId="77777777">
        <w:tc>
          <w:tcPr>
            <w:tcW w:w="4315" w:type="dxa"/>
            <w:tcBorders>
              <w:top w:val="single" w:sz="4" w:space="0" w:color="auto"/>
              <w:bottom w:val="single" w:sz="4" w:space="0" w:color="auto"/>
            </w:tcBorders>
          </w:tcPr>
          <w:p w14:paraId="417D0F88" w14:textId="77777777" w:rsidR="00920D66" w:rsidRDefault="00920D66" w:rsidP="00CB2E71">
            <w:pPr>
              <w:pStyle w:val="BodyText"/>
              <w:ind w:firstLine="0"/>
              <w:jc w:val="center"/>
            </w:pPr>
            <w:r>
              <w:t>Inclusion search criteria</w:t>
            </w:r>
          </w:p>
        </w:tc>
        <w:tc>
          <w:tcPr>
            <w:tcW w:w="4315" w:type="dxa"/>
            <w:tcBorders>
              <w:top w:val="single" w:sz="4" w:space="0" w:color="auto"/>
              <w:bottom w:val="single" w:sz="4" w:space="0" w:color="auto"/>
            </w:tcBorders>
          </w:tcPr>
          <w:p w14:paraId="75C9A70D" w14:textId="77777777" w:rsidR="00920D66" w:rsidRDefault="00920D66" w:rsidP="00CB2E71">
            <w:pPr>
              <w:pStyle w:val="BodyText"/>
              <w:ind w:firstLine="0"/>
              <w:jc w:val="center"/>
            </w:pPr>
            <w:r>
              <w:t>Exclusion search criteria</w:t>
            </w:r>
          </w:p>
        </w:tc>
      </w:tr>
      <w:tr w:rsidR="002A4EF2" w14:paraId="61AC96C4" w14:textId="77777777" w:rsidTr="002A4EF2">
        <w:tc>
          <w:tcPr>
            <w:tcW w:w="4315" w:type="dxa"/>
            <w:tcBorders>
              <w:top w:val="single" w:sz="4" w:space="0" w:color="auto"/>
            </w:tcBorders>
          </w:tcPr>
          <w:p w14:paraId="6B5AA84A" w14:textId="004398DA" w:rsidR="002A4EF2" w:rsidRPr="008F5B5A" w:rsidRDefault="00170E95" w:rsidP="00927849">
            <w:pPr>
              <w:pStyle w:val="BodyText"/>
              <w:spacing w:after="240" w:line="240" w:lineRule="auto"/>
              <w:ind w:left="360" w:firstLine="0"/>
            </w:pPr>
            <w:r>
              <w:t>M</w:t>
            </w:r>
            <w:r w:rsidR="002A4EF2" w:rsidRPr="008F5B5A">
              <w:t xml:space="preserve">edication nonadherence in patients </w:t>
            </w:r>
          </w:p>
          <w:p w14:paraId="0FF6FE45" w14:textId="0B848D95" w:rsidR="002A4EF2" w:rsidRPr="008F5B5A" w:rsidRDefault="002A4EF2" w:rsidP="00927849">
            <w:pPr>
              <w:pStyle w:val="BodyText"/>
              <w:spacing w:after="240" w:line="240" w:lineRule="auto"/>
              <w:ind w:left="360" w:firstLine="0"/>
            </w:pPr>
            <w:r w:rsidRPr="008F5B5A">
              <w:t xml:space="preserve">English </w:t>
            </w:r>
            <w:r>
              <w:t>t</w:t>
            </w:r>
            <w:r w:rsidRPr="008F5B5A">
              <w:t>ext</w:t>
            </w:r>
          </w:p>
          <w:p w14:paraId="1EB2F97E" w14:textId="02BDCE8A" w:rsidR="002A4EF2" w:rsidRDefault="002A4EF2" w:rsidP="00927849">
            <w:pPr>
              <w:pStyle w:val="BodyText"/>
              <w:spacing w:after="240" w:line="240" w:lineRule="auto"/>
              <w:ind w:left="360" w:firstLine="0"/>
            </w:pPr>
            <w:r w:rsidRPr="008F5B5A">
              <w:t>Empirical</w:t>
            </w:r>
            <w:r w:rsidR="009904BA">
              <w:t xml:space="preserve"> and nonempirical</w:t>
            </w:r>
            <w:r w:rsidRPr="008F5B5A">
              <w:t xml:space="preserve"> full </w:t>
            </w:r>
            <w:r w:rsidR="00C76D65">
              <w:t>review</w:t>
            </w:r>
            <w:r w:rsidRPr="008F5B5A">
              <w:t xml:space="preserve"> </w:t>
            </w:r>
          </w:p>
        </w:tc>
        <w:tc>
          <w:tcPr>
            <w:tcW w:w="4315" w:type="dxa"/>
            <w:tcBorders>
              <w:top w:val="single" w:sz="4" w:space="0" w:color="auto"/>
            </w:tcBorders>
          </w:tcPr>
          <w:p w14:paraId="5ED6795D" w14:textId="77777777" w:rsidR="002A4EF2" w:rsidRPr="008F5B5A" w:rsidRDefault="002A4EF2" w:rsidP="00927849">
            <w:pPr>
              <w:pStyle w:val="BodyText"/>
              <w:spacing w:after="240" w:line="240" w:lineRule="auto"/>
              <w:ind w:left="360" w:firstLine="0"/>
            </w:pPr>
            <w:r w:rsidRPr="008F5B5A">
              <w:t>Age limitations</w:t>
            </w:r>
          </w:p>
          <w:p w14:paraId="64FAC04F" w14:textId="77777777" w:rsidR="002A4EF2" w:rsidRPr="008F5B5A" w:rsidRDefault="002A4EF2" w:rsidP="00927849">
            <w:pPr>
              <w:pStyle w:val="BodyText"/>
              <w:spacing w:after="240" w:line="240" w:lineRule="auto"/>
              <w:ind w:left="360" w:firstLine="0"/>
            </w:pPr>
            <w:r w:rsidRPr="008F5B5A">
              <w:t>Forgetfulness</w:t>
            </w:r>
          </w:p>
          <w:p w14:paraId="02B07EDB" w14:textId="7F03995C" w:rsidR="002A4EF2" w:rsidRPr="008F5B5A" w:rsidRDefault="002A4EF2" w:rsidP="00927849">
            <w:pPr>
              <w:pStyle w:val="BodyText"/>
              <w:spacing w:after="240" w:line="240" w:lineRule="auto"/>
              <w:ind w:left="360" w:firstLine="0"/>
            </w:pPr>
            <w:r w:rsidRPr="008F5B5A">
              <w:t xml:space="preserve">Personal </w:t>
            </w:r>
            <w:r>
              <w:t>b</w:t>
            </w:r>
            <w:r w:rsidRPr="008F5B5A">
              <w:t>eliefs</w:t>
            </w:r>
          </w:p>
          <w:p w14:paraId="2A4CDC4F" w14:textId="47FF371A" w:rsidR="002A4EF2" w:rsidRDefault="002A4EF2" w:rsidP="00927849">
            <w:pPr>
              <w:pStyle w:val="BodyText"/>
              <w:spacing w:after="240" w:line="240" w:lineRule="auto"/>
              <w:ind w:left="360" w:firstLine="0"/>
            </w:pPr>
            <w:r w:rsidRPr="008F5B5A">
              <w:t>Specific health conditions</w:t>
            </w:r>
          </w:p>
        </w:tc>
      </w:tr>
      <w:tr w:rsidR="002A4EF2" w14:paraId="658A70A5" w14:textId="77777777" w:rsidTr="002A4EF2">
        <w:tc>
          <w:tcPr>
            <w:tcW w:w="4315" w:type="dxa"/>
            <w:tcBorders>
              <w:bottom w:val="single" w:sz="4" w:space="0" w:color="auto"/>
            </w:tcBorders>
          </w:tcPr>
          <w:p w14:paraId="40725E3E" w14:textId="40894885" w:rsidR="002A4EF2" w:rsidRPr="008F5B5A" w:rsidRDefault="000408F7" w:rsidP="00927849">
            <w:pPr>
              <w:pStyle w:val="BodyText"/>
              <w:spacing w:after="240" w:line="240" w:lineRule="auto"/>
              <w:ind w:left="360" w:firstLine="0"/>
            </w:pPr>
            <w:r>
              <w:t>2020-202</w:t>
            </w:r>
            <w:r w:rsidR="008C7E0F">
              <w:t>6</w:t>
            </w:r>
          </w:p>
        </w:tc>
        <w:tc>
          <w:tcPr>
            <w:tcW w:w="4315" w:type="dxa"/>
            <w:tcBorders>
              <w:bottom w:val="single" w:sz="4" w:space="0" w:color="auto"/>
            </w:tcBorders>
          </w:tcPr>
          <w:p w14:paraId="7E9642B7" w14:textId="24F1CC59" w:rsidR="002A4EF2" w:rsidRPr="00503D25" w:rsidRDefault="002A4EF2" w:rsidP="00927849">
            <w:pPr>
              <w:pStyle w:val="BodyText"/>
              <w:spacing w:after="240" w:line="240" w:lineRule="auto"/>
              <w:ind w:left="360" w:firstLine="0"/>
              <w:rPr>
                <w:color w:val="538135" w:themeColor="accent6" w:themeShade="BF"/>
              </w:rPr>
            </w:pPr>
            <w:r w:rsidRPr="008F5B5A">
              <w:t>Certain insurance types</w:t>
            </w:r>
          </w:p>
        </w:tc>
      </w:tr>
    </w:tbl>
    <w:p w14:paraId="25E991F3" w14:textId="77777777" w:rsidR="00727C76" w:rsidRDefault="00727C76" w:rsidP="00727C76">
      <w:pPr>
        <w:pStyle w:val="BodyText"/>
        <w:ind w:firstLine="0"/>
      </w:pPr>
    </w:p>
    <w:p w14:paraId="7F80B397" w14:textId="77777777" w:rsidR="002A4EF2" w:rsidRPr="008F5B5A" w:rsidRDefault="002A4EF2" w:rsidP="002A4EF2">
      <w:pPr>
        <w:spacing w:line="480" w:lineRule="auto"/>
        <w:ind w:firstLine="720"/>
        <w:contextualSpacing/>
      </w:pPr>
      <w:r w:rsidRPr="008F5B5A">
        <w:t>In creating the comprehensive search strategy, several search terms were created utilizing Boolean phrasing, such as:</w:t>
      </w:r>
    </w:p>
    <w:p w14:paraId="07769EB2" w14:textId="77777777" w:rsidR="002A4EF2" w:rsidRPr="008F5B5A" w:rsidRDefault="002A4EF2" w:rsidP="002A4EF2">
      <w:pPr>
        <w:spacing w:line="480" w:lineRule="auto"/>
      </w:pPr>
      <w:r w:rsidRPr="008F5B5A">
        <w:tab/>
        <w:t>“Medication nonadherence” AND “targeted strategy” AND “cost-reduction”</w:t>
      </w:r>
    </w:p>
    <w:p w14:paraId="6CB2C96F" w14:textId="77777777" w:rsidR="002A4EF2" w:rsidRPr="008F5B5A" w:rsidRDefault="002A4EF2" w:rsidP="002A4EF2">
      <w:pPr>
        <w:spacing w:line="480" w:lineRule="auto"/>
        <w:ind w:left="720"/>
      </w:pPr>
      <w:r w:rsidRPr="008F5B5A">
        <w:t>“Chronic medication nonadherence” AND “web-based management” AND “preventable spending”</w:t>
      </w:r>
    </w:p>
    <w:p w14:paraId="21E69F10" w14:textId="77777777" w:rsidR="002A4EF2" w:rsidRPr="008F5B5A" w:rsidRDefault="002A4EF2" w:rsidP="002A4EF2">
      <w:pPr>
        <w:spacing w:line="480" w:lineRule="auto"/>
        <w:ind w:left="720"/>
      </w:pPr>
      <w:r w:rsidRPr="008F5B5A">
        <w:t>“System-based” AND “medication adherence” AND “clinic costs”</w:t>
      </w:r>
    </w:p>
    <w:p w14:paraId="2770E67B" w14:textId="6C78AF7E" w:rsidR="002A4EF2" w:rsidRPr="008F5B5A" w:rsidRDefault="002A4EF2" w:rsidP="002A4EF2">
      <w:pPr>
        <w:spacing w:line="480" w:lineRule="auto"/>
        <w:ind w:firstLine="720"/>
      </w:pPr>
      <w:r w:rsidRPr="008F5B5A">
        <w:lastRenderedPageBreak/>
        <w:t xml:space="preserve">These terms were entered into electronic databases, specifically PubMed, Web of Science, Scopus, and EBSCOhost. The search was limited to the period from January 2020 to </w:t>
      </w:r>
      <w:r w:rsidR="0072302E">
        <w:t>December</w:t>
      </w:r>
      <w:r w:rsidRPr="008F5B5A">
        <w:t xml:space="preserve"> 2025. The purpose of this timeframe was to ensure the relevance of the articles about the topic of </w:t>
      </w:r>
      <w:r w:rsidR="007C5CAD">
        <w:t>review</w:t>
      </w:r>
      <w:r w:rsidR="007C5CAD" w:rsidRPr="008F5B5A">
        <w:t xml:space="preserve"> </w:t>
      </w:r>
      <w:r w:rsidRPr="008F5B5A">
        <w:t xml:space="preserve">and to ensure the rigor of the review. </w:t>
      </w:r>
    </w:p>
    <w:p w14:paraId="3146C2F8" w14:textId="1ADB4749" w:rsidR="002A4EF2" w:rsidRPr="008F5B5A" w:rsidRDefault="002A4EF2" w:rsidP="002A4EF2">
      <w:pPr>
        <w:spacing w:line="480" w:lineRule="auto"/>
        <w:ind w:firstLine="720"/>
        <w:contextualSpacing/>
        <w:rPr>
          <w:rFonts w:eastAsia="Aptos"/>
        </w:rPr>
      </w:pPr>
      <w:r w:rsidRPr="008F5B5A">
        <w:rPr>
          <w:rFonts w:eastAsia="Aptos"/>
        </w:rPr>
        <w:t xml:space="preserve">During the second phase of the literature search strategy, I used several academic databases to locate the sources. I first </w:t>
      </w:r>
      <w:r w:rsidR="007E0E0F">
        <w:rPr>
          <w:rFonts w:eastAsia="Aptos"/>
        </w:rPr>
        <w:t xml:space="preserve">visited </w:t>
      </w:r>
      <w:r w:rsidRPr="008F5B5A">
        <w:rPr>
          <w:rFonts w:eastAsia="Aptos"/>
        </w:rPr>
        <w:t xml:space="preserve">the </w:t>
      </w:r>
      <w:r w:rsidR="00357996">
        <w:rPr>
          <w:rFonts w:eastAsia="Aptos"/>
        </w:rPr>
        <w:t>Walden U</w:t>
      </w:r>
      <w:r w:rsidRPr="008F5B5A">
        <w:rPr>
          <w:rFonts w:eastAsia="Aptos"/>
        </w:rPr>
        <w:t xml:space="preserve">niversity library’s website and </w:t>
      </w:r>
      <w:r w:rsidR="00357996">
        <w:rPr>
          <w:rFonts w:eastAsia="Aptos"/>
        </w:rPr>
        <w:t xml:space="preserve">accessed </w:t>
      </w:r>
      <w:r w:rsidRPr="008F5B5A">
        <w:rPr>
          <w:rFonts w:eastAsia="Aptos"/>
        </w:rPr>
        <w:t xml:space="preserve">several digital search engines, which generated sources for the bibliography. Then, I relied on the generalist platforms Academic Search Complete, EBSCOhost, and JSTOR to locate articles that addressed the chapter’s themes from broader academic perspectives. The combined search engines generated approximately 20% of the bibliography’s entries. Secondly, several specialist platforms yielded results that analyzed the same issues from the healthcare field's standpoint. The search engines Cochrane Collection Plus, PubMed, and Medline located 75% of the chapter’s sources. Finally, I accessed Google Scholar to locate the additional work that completed the bibliography. </w:t>
      </w:r>
    </w:p>
    <w:p w14:paraId="68DCF3C5" w14:textId="3E7448E3" w:rsidR="002A4EF2" w:rsidRPr="00BA0348" w:rsidRDefault="002A4EF2" w:rsidP="002A4EF2">
      <w:pPr>
        <w:pStyle w:val="BodyText"/>
        <w:rPr>
          <w:i/>
        </w:rPr>
      </w:pPr>
      <w:r w:rsidRPr="002A4EF2">
        <w:rPr>
          <w:rFonts w:eastAsia="Aptos"/>
        </w:rPr>
        <w:t xml:space="preserve">After locating the combined databases, I relied on a two-part Boolean keyword search strategy that yielded specific results for the chapter’s three primary sections. The methodology connected a primary phrase with a secondary mediating statement that guided the search process. The combination of the primary statement “medication nonadherence” and the secondary phrases “causes” and “impacts was used to locate sources that addressed the first topic. The aggregate keywords “medication nonadherence,” “technologies,” and “behavioral strategies” yielded journal article titles that contributed to the second unit’s discussions. Finally, the combined phrases “medication tracking systems,” “implementation challenges,” and “cost-effectiveness” </w:t>
      </w:r>
      <w:r w:rsidRPr="002A4EF2">
        <w:rPr>
          <w:rFonts w:eastAsia="Aptos"/>
        </w:rPr>
        <w:lastRenderedPageBreak/>
        <w:t>produced source listings that corresponded to the third section’s analysis</w:t>
      </w:r>
      <w:r w:rsidR="00FF0BD5">
        <w:rPr>
          <w:rFonts w:eastAsia="Aptos"/>
        </w:rPr>
        <w:t>.</w:t>
      </w:r>
      <w:r w:rsidR="007C5CAD">
        <w:rPr>
          <w:rFonts w:eastAsia="Aptos"/>
        </w:rPr>
        <w:t xml:space="preserve"> </w:t>
      </w:r>
      <w:r w:rsidR="005A2788" w:rsidRPr="008F5B5A">
        <w:t xml:space="preserve">During my literature review, I identified 1,892 articles. Of these articles, 97 were analyzed for the literature search, leaving </w:t>
      </w:r>
      <w:r w:rsidR="005A2788">
        <w:t>29</w:t>
      </w:r>
      <w:r w:rsidR="005A2788" w:rsidRPr="008F5B5A">
        <w:t xml:space="preserve"> for quality analysis. </w:t>
      </w:r>
      <w:r w:rsidR="007C5CAD">
        <w:rPr>
          <w:rFonts w:eastAsia="Aptos"/>
        </w:rPr>
        <w:t>Appendix B contains the search log for this integrative review.</w:t>
      </w:r>
      <w:r w:rsidR="00FF0BD5">
        <w:rPr>
          <w:rFonts w:eastAsia="Aptos"/>
        </w:rPr>
        <w:t xml:space="preserve"> </w:t>
      </w:r>
    </w:p>
    <w:p w14:paraId="6AEAEAA8" w14:textId="146C9DAC" w:rsidR="00920D66" w:rsidRDefault="00920D66" w:rsidP="00CB2E71">
      <w:pPr>
        <w:pStyle w:val="APALevel1"/>
      </w:pPr>
      <w:r>
        <w:t>Quality Appraisal</w:t>
      </w:r>
    </w:p>
    <w:p w14:paraId="58374ADC" w14:textId="56467A82" w:rsidR="002A4EF2" w:rsidRPr="002A4EF2" w:rsidRDefault="00F83B69" w:rsidP="002A4EF2">
      <w:pPr>
        <w:pStyle w:val="BodyText"/>
      </w:pPr>
      <w:r>
        <w:t>Using the</w:t>
      </w:r>
      <w:r w:rsidR="00EB0023">
        <w:t xml:space="preserve"> Johns Hopkins</w:t>
      </w:r>
      <w:r>
        <w:t xml:space="preserve"> Nursing Evidence-Based Practice Model, </w:t>
      </w:r>
      <w:r w:rsidR="00EB0023">
        <w:t>22</w:t>
      </w:r>
      <w:r w:rsidR="002A4EF2" w:rsidRPr="002A4EF2">
        <w:t xml:space="preserve"> of the 29 reviewed studies were qualitative, while seven were quantitative. Of the </w:t>
      </w:r>
      <w:r w:rsidR="005B4E6B">
        <w:t>22</w:t>
      </w:r>
      <w:r w:rsidR="002A4EF2" w:rsidRPr="002A4EF2">
        <w:t xml:space="preserve"> qualitative articles, </w:t>
      </w:r>
      <w:r w:rsidR="009403A4">
        <w:t>21</w:t>
      </w:r>
      <w:r w:rsidR="002A4EF2" w:rsidRPr="002A4EF2">
        <w:t xml:space="preserve"> were rated at evidence level of Level III </w:t>
      </w:r>
      <w:r w:rsidR="00C91DD0">
        <w:t>with</w:t>
      </w:r>
      <w:r w:rsidR="002A4EF2" w:rsidRPr="002A4EF2">
        <w:t xml:space="preserve"> a quality rating of High/Good (A/B), and the remaining one was rated at evidence level of Level III </w:t>
      </w:r>
      <w:r w:rsidR="00C91DD0">
        <w:t>with</w:t>
      </w:r>
      <w:r w:rsidR="002A4EF2" w:rsidRPr="002A4EF2">
        <w:t xml:space="preserve"> a quality rating of High/Good. Of the </w:t>
      </w:r>
      <w:r w:rsidR="005A2788" w:rsidRPr="002A4EF2">
        <w:t>seven</w:t>
      </w:r>
      <w:r w:rsidR="002A4EF2" w:rsidRPr="002A4EF2">
        <w:t xml:space="preserve"> quantitative articles, </w:t>
      </w:r>
      <w:r w:rsidR="00B529BE">
        <w:t>all</w:t>
      </w:r>
      <w:r w:rsidR="002A4EF2" w:rsidRPr="002A4EF2">
        <w:t xml:space="preserve"> were rated with an evidence level of Level III. </w:t>
      </w:r>
      <w:r w:rsidR="00696F29" w:rsidRPr="00696F29">
        <w:t>Th</w:t>
      </w:r>
      <w:r w:rsidR="009C6286">
        <w:t>is</w:t>
      </w:r>
      <w:r w:rsidR="00696F29" w:rsidRPr="00696F29">
        <w:t xml:space="preserve"> </w:t>
      </w:r>
      <w:r w:rsidR="005A2788" w:rsidRPr="00696F29">
        <w:t>r</w:t>
      </w:r>
      <w:r w:rsidR="005A2788">
        <w:t>eview</w:t>
      </w:r>
      <w:r w:rsidR="005A2788" w:rsidRPr="00696F29">
        <w:t xml:space="preserve"> </w:t>
      </w:r>
      <w:r w:rsidR="00696F29" w:rsidRPr="00696F29">
        <w:t xml:space="preserve">aimed to determine the impact on clinical health outcomes, as poor adherence due to costs is linked to higher mortality and poorer health </w:t>
      </w:r>
      <w:r w:rsidR="002011EF">
        <w:t>outcome</w:t>
      </w:r>
      <w:r w:rsidR="00696F29" w:rsidRPr="00696F29">
        <w:t>s. </w:t>
      </w:r>
      <w:r w:rsidR="002A4EF2" w:rsidRPr="002A4EF2">
        <w:t xml:space="preserve">All sources analyzed were deemed worthy of my </w:t>
      </w:r>
      <w:r w:rsidR="007C5CAD">
        <w:t>integrative review</w:t>
      </w:r>
      <w:r w:rsidR="002A4EF2" w:rsidRPr="002A4EF2">
        <w:t xml:space="preserve">, </w:t>
      </w:r>
      <w:r w:rsidR="00C76D65">
        <w:t>a</w:t>
      </w:r>
      <w:r w:rsidR="001C4B51">
        <w:t>s</w:t>
      </w:r>
      <w:r w:rsidR="002A4EF2" w:rsidRPr="002A4EF2">
        <w:t xml:space="preserve"> I then performed a </w:t>
      </w:r>
      <w:r w:rsidR="0047332B">
        <w:t>t</w:t>
      </w:r>
      <w:r w:rsidR="002A4EF2" w:rsidRPr="002A4EF2">
        <w:t xml:space="preserve">hematic </w:t>
      </w:r>
      <w:r w:rsidR="0047332B">
        <w:t>a</w:t>
      </w:r>
      <w:r w:rsidR="002A4EF2" w:rsidRPr="002A4EF2">
        <w:t>nalysis.</w:t>
      </w:r>
      <w:r w:rsidR="00B30545">
        <w:t xml:space="preserve"> </w:t>
      </w:r>
    </w:p>
    <w:p w14:paraId="309708C1" w14:textId="49ED05AF" w:rsidR="00920D66" w:rsidRDefault="00920D66" w:rsidP="00042E1B">
      <w:pPr>
        <w:pStyle w:val="APALevel1"/>
      </w:pPr>
      <w:r>
        <w:t>Thematic Analysis of Literature</w:t>
      </w:r>
    </w:p>
    <w:p w14:paraId="4ABEED3F" w14:textId="44E0E276" w:rsidR="002E50D4" w:rsidRDefault="002A4EF2" w:rsidP="00EA1076">
      <w:pPr>
        <w:pStyle w:val="BodyText"/>
      </w:pPr>
      <w:r w:rsidRPr="56921136">
        <w:t xml:space="preserve">The four themes extracted </w:t>
      </w:r>
      <w:r w:rsidR="00A53125">
        <w:t>from the 29</w:t>
      </w:r>
      <w:r w:rsidR="00922BD4">
        <w:t xml:space="preserve"> sources that surpassed a literature review and quality analysis </w:t>
      </w:r>
      <w:r w:rsidRPr="56921136">
        <w:t xml:space="preserve">for this integrative literature review are as follows: (a) cost savings strategies, (b) targeted medical interventions, (c) technology integration and innovation, </w:t>
      </w:r>
      <w:r w:rsidR="00A364E7">
        <w:t>and</w:t>
      </w:r>
      <w:r w:rsidRPr="56921136">
        <w:t xml:space="preserve"> (d) utilizing multifaceted patient-centered strategies within medical centers can improve managerial and administrative capacities and improve the oversight of medication adherence to reduce clinic costs. These themes emerged from the analysis of the reviewed literature, facilitating the extraction of data from the articles in</w:t>
      </w:r>
      <w:r w:rsidRPr="56921136" w:rsidDel="006B7DF1">
        <w:t xml:space="preserve"> </w:t>
      </w:r>
      <w:r w:rsidRPr="56921136">
        <w:t xml:space="preserve">this </w:t>
      </w:r>
      <w:r w:rsidRPr="56921136">
        <w:lastRenderedPageBreak/>
        <w:t>integrative literature review.</w:t>
      </w:r>
      <w:r w:rsidR="00EA1076">
        <w:t xml:space="preserve"> The thematic coding and analysis </w:t>
      </w:r>
      <w:r w:rsidR="00892D13">
        <w:t>are</w:t>
      </w:r>
      <w:r w:rsidR="00EA1076">
        <w:t xml:space="preserve"> found in Appendix D.</w:t>
      </w:r>
      <w:r w:rsidR="000F2446">
        <w:t xml:space="preserve"> </w:t>
      </w:r>
      <w:r w:rsidR="00500D50">
        <w:t>A</w:t>
      </w:r>
      <w:r w:rsidR="000F2446">
        <w:t xml:space="preserve"> table of</w:t>
      </w:r>
      <w:r w:rsidR="00A04AE9">
        <w:t xml:space="preserve"> </w:t>
      </w:r>
      <w:r w:rsidR="0034332F">
        <w:t xml:space="preserve">my </w:t>
      </w:r>
      <w:r w:rsidR="00A04AE9">
        <w:t xml:space="preserve">preliminary themes and subthemes </w:t>
      </w:r>
      <w:r w:rsidR="00500D50">
        <w:t>is</w:t>
      </w:r>
      <w:r w:rsidR="00A04AE9">
        <w:t xml:space="preserve"> presented in Table 2.</w:t>
      </w:r>
    </w:p>
    <w:p w14:paraId="38594CAA" w14:textId="374DECD5" w:rsidR="002827D6" w:rsidRDefault="002E50D4" w:rsidP="00985307">
      <w:pPr>
        <w:autoSpaceDE/>
        <w:autoSpaceDN/>
        <w:adjustRightInd/>
        <w:snapToGrid/>
        <w:rPr>
          <w:rFonts w:eastAsia="Aptos"/>
          <w:b/>
          <w:bCs/>
        </w:rPr>
      </w:pPr>
      <w:r>
        <w:br w:type="page"/>
      </w:r>
      <w:r w:rsidR="002827D6" w:rsidRPr="00A66083">
        <w:rPr>
          <w:rFonts w:eastAsia="Aptos"/>
          <w:b/>
          <w:bCs/>
        </w:rPr>
        <w:lastRenderedPageBreak/>
        <w:t>Table 2</w:t>
      </w:r>
    </w:p>
    <w:p w14:paraId="67BB73B0" w14:textId="77777777" w:rsidR="002E4033" w:rsidRPr="00A66083" w:rsidRDefault="002E4033" w:rsidP="00985307">
      <w:pPr>
        <w:autoSpaceDE/>
        <w:autoSpaceDN/>
        <w:adjustRightInd/>
        <w:snapToGrid/>
        <w:rPr>
          <w:rFonts w:eastAsia="Aptos"/>
          <w:b/>
          <w:bCs/>
        </w:rPr>
      </w:pPr>
    </w:p>
    <w:p w14:paraId="58AAAAAB" w14:textId="68D6B633" w:rsidR="002827D6" w:rsidRPr="00A66083" w:rsidRDefault="002827D6" w:rsidP="0033576C">
      <w:pPr>
        <w:pStyle w:val="BodyText"/>
        <w:ind w:firstLine="0"/>
        <w:rPr>
          <w:rFonts w:eastAsia="Aptos"/>
          <w:i/>
          <w:iCs/>
        </w:rPr>
      </w:pPr>
      <w:r w:rsidRPr="00A66083">
        <w:rPr>
          <w:rFonts w:eastAsia="Aptos"/>
          <w:i/>
          <w:iCs/>
        </w:rPr>
        <w:t xml:space="preserve">Preliminary Extraction of All Themes and Subthemes </w:t>
      </w:r>
      <w:r w:rsidR="0014374F">
        <w:rPr>
          <w:rFonts w:eastAsia="Aptos"/>
          <w:i/>
          <w:iCs/>
        </w:rPr>
        <w:t>F</w:t>
      </w:r>
      <w:r w:rsidRPr="00A66083">
        <w:rPr>
          <w:rFonts w:eastAsia="Aptos"/>
          <w:i/>
          <w:iCs/>
        </w:rPr>
        <w:t>rom Appendix 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1068CB" w14:paraId="183BE32B" w14:textId="77777777" w:rsidTr="009C269F">
        <w:tc>
          <w:tcPr>
            <w:tcW w:w="4315" w:type="dxa"/>
            <w:tcBorders>
              <w:top w:val="single" w:sz="4" w:space="0" w:color="auto"/>
              <w:bottom w:val="single" w:sz="4" w:space="0" w:color="auto"/>
            </w:tcBorders>
          </w:tcPr>
          <w:p w14:paraId="74BCC790" w14:textId="587F7CBE" w:rsidR="001068CB" w:rsidRPr="00927849" w:rsidRDefault="0033576C" w:rsidP="001C68D1">
            <w:pPr>
              <w:pStyle w:val="BodyText"/>
              <w:spacing w:line="240" w:lineRule="auto"/>
              <w:ind w:firstLine="0"/>
              <w:jc w:val="center"/>
            </w:pPr>
            <w:r w:rsidRPr="00927849">
              <w:t>Theme</w:t>
            </w:r>
          </w:p>
        </w:tc>
        <w:tc>
          <w:tcPr>
            <w:tcW w:w="4315" w:type="dxa"/>
            <w:tcBorders>
              <w:top w:val="single" w:sz="4" w:space="0" w:color="auto"/>
              <w:bottom w:val="single" w:sz="4" w:space="0" w:color="auto"/>
            </w:tcBorders>
          </w:tcPr>
          <w:p w14:paraId="0940DBC6" w14:textId="7CC05A38" w:rsidR="001068CB" w:rsidRPr="00927849" w:rsidRDefault="0033576C" w:rsidP="001C68D1">
            <w:pPr>
              <w:pStyle w:val="BodyText"/>
              <w:spacing w:line="240" w:lineRule="auto"/>
              <w:ind w:firstLine="0"/>
              <w:jc w:val="center"/>
            </w:pPr>
            <w:r w:rsidRPr="00927849">
              <w:t>Subthemes</w:t>
            </w:r>
          </w:p>
        </w:tc>
      </w:tr>
      <w:tr w:rsidR="001068CB" w14:paraId="5941393B" w14:textId="77777777" w:rsidTr="009C269F">
        <w:tc>
          <w:tcPr>
            <w:tcW w:w="4315" w:type="dxa"/>
            <w:tcBorders>
              <w:top w:val="single" w:sz="4" w:space="0" w:color="auto"/>
              <w:bottom w:val="single" w:sz="4" w:space="0" w:color="auto"/>
            </w:tcBorders>
          </w:tcPr>
          <w:p w14:paraId="4C86B0DA" w14:textId="1DF3D423" w:rsidR="001068CB" w:rsidRDefault="001732E0" w:rsidP="00927849">
            <w:pPr>
              <w:pStyle w:val="BodyText"/>
              <w:spacing w:line="240" w:lineRule="auto"/>
              <w:ind w:left="360" w:firstLine="0"/>
              <w:outlineLvl w:val="0"/>
            </w:pPr>
            <w:r>
              <w:br w:type="page"/>
            </w:r>
            <w:r>
              <w:br w:type="page"/>
            </w:r>
            <w:r w:rsidR="00C95654">
              <w:t xml:space="preserve">Technology </w:t>
            </w:r>
            <w:r w:rsidR="002E4033">
              <w:t>i</w:t>
            </w:r>
            <w:r w:rsidR="00C95654">
              <w:t xml:space="preserve">ntegration &amp; </w:t>
            </w:r>
            <w:r w:rsidR="002E4033">
              <w:t>i</w:t>
            </w:r>
            <w:r w:rsidR="00C95654">
              <w:t>nnovation</w:t>
            </w:r>
          </w:p>
          <w:p w14:paraId="4165360B" w14:textId="77777777" w:rsidR="00C80DF0" w:rsidRDefault="00C80DF0" w:rsidP="002E4033">
            <w:pPr>
              <w:pStyle w:val="BodyText"/>
              <w:spacing w:line="240" w:lineRule="auto"/>
              <w:ind w:left="720" w:firstLine="0"/>
              <w:outlineLvl w:val="0"/>
            </w:pPr>
          </w:p>
          <w:p w14:paraId="6E84303C" w14:textId="77777777" w:rsidR="00C80DF0" w:rsidRDefault="00C80DF0" w:rsidP="002E4033">
            <w:pPr>
              <w:pStyle w:val="BodyText"/>
              <w:spacing w:line="240" w:lineRule="auto"/>
              <w:ind w:left="720" w:firstLine="0"/>
              <w:outlineLvl w:val="0"/>
            </w:pPr>
          </w:p>
          <w:p w14:paraId="63DA30F1" w14:textId="77777777" w:rsidR="00120A53" w:rsidRDefault="00120A53" w:rsidP="002E4033">
            <w:pPr>
              <w:pStyle w:val="BodyText"/>
              <w:spacing w:line="240" w:lineRule="auto"/>
              <w:ind w:firstLine="0"/>
              <w:outlineLvl w:val="0"/>
            </w:pPr>
          </w:p>
          <w:p w14:paraId="153354ED" w14:textId="77777777" w:rsidR="00E5514A" w:rsidRDefault="00E5514A" w:rsidP="00927849">
            <w:pPr>
              <w:pStyle w:val="BodyText"/>
              <w:spacing w:line="240" w:lineRule="auto"/>
              <w:ind w:left="360" w:firstLine="0"/>
              <w:outlineLvl w:val="0"/>
            </w:pPr>
          </w:p>
          <w:p w14:paraId="350D097E" w14:textId="77777777" w:rsidR="000F2446" w:rsidRDefault="000F2446" w:rsidP="00927849">
            <w:pPr>
              <w:pStyle w:val="BodyText"/>
              <w:spacing w:line="240" w:lineRule="auto"/>
              <w:ind w:left="360" w:firstLine="0"/>
              <w:outlineLvl w:val="0"/>
            </w:pPr>
          </w:p>
          <w:p w14:paraId="663B78EE" w14:textId="59AF4C40" w:rsidR="001068CB" w:rsidRDefault="00D97132" w:rsidP="00927849">
            <w:pPr>
              <w:pStyle w:val="BodyText"/>
              <w:spacing w:line="240" w:lineRule="auto"/>
              <w:ind w:left="360" w:firstLine="0"/>
              <w:outlineLvl w:val="0"/>
            </w:pPr>
            <w:r>
              <w:t xml:space="preserve">Economic &amp; </w:t>
            </w:r>
            <w:r w:rsidR="002E4033">
              <w:t>s</w:t>
            </w:r>
            <w:r>
              <w:t xml:space="preserve">ystemic </w:t>
            </w:r>
            <w:r w:rsidR="002E4033">
              <w:t>i</w:t>
            </w:r>
            <w:r>
              <w:t>nfluences</w:t>
            </w:r>
          </w:p>
          <w:p w14:paraId="36E36CF9" w14:textId="77777777" w:rsidR="00D56A92" w:rsidRDefault="00D56A92" w:rsidP="002E4033">
            <w:pPr>
              <w:pStyle w:val="BodyText"/>
              <w:spacing w:line="240" w:lineRule="auto"/>
              <w:ind w:left="720" w:firstLine="0"/>
              <w:outlineLvl w:val="0"/>
            </w:pPr>
          </w:p>
          <w:p w14:paraId="7E0DAEFD" w14:textId="77777777" w:rsidR="00D56A92" w:rsidRDefault="00D56A92" w:rsidP="002E4033">
            <w:pPr>
              <w:pStyle w:val="BodyText"/>
              <w:spacing w:line="240" w:lineRule="auto"/>
              <w:ind w:left="720" w:firstLine="0"/>
              <w:outlineLvl w:val="0"/>
            </w:pPr>
          </w:p>
          <w:p w14:paraId="25EC8E12" w14:textId="77777777" w:rsidR="00220DD5" w:rsidRDefault="00220DD5" w:rsidP="002E4033">
            <w:pPr>
              <w:pStyle w:val="BodyText"/>
              <w:spacing w:line="240" w:lineRule="auto"/>
              <w:ind w:firstLine="0"/>
              <w:outlineLvl w:val="0"/>
            </w:pPr>
          </w:p>
          <w:p w14:paraId="0AEE45E3" w14:textId="46BBC81B" w:rsidR="001068CB" w:rsidRDefault="0006767D" w:rsidP="00927849">
            <w:pPr>
              <w:pStyle w:val="BodyText"/>
              <w:spacing w:line="240" w:lineRule="auto"/>
              <w:ind w:left="360" w:firstLine="0"/>
              <w:outlineLvl w:val="0"/>
            </w:pPr>
            <w:r>
              <w:t xml:space="preserve">Implementation &amp; </w:t>
            </w:r>
            <w:r w:rsidR="002E4033">
              <w:t>e</w:t>
            </w:r>
            <w:r>
              <w:t xml:space="preserve">valuation </w:t>
            </w:r>
            <w:r w:rsidR="002E4033">
              <w:t>c</w:t>
            </w:r>
            <w:r>
              <w:t>hallenges</w:t>
            </w:r>
          </w:p>
          <w:p w14:paraId="0BC33781" w14:textId="77777777" w:rsidR="007B71AD" w:rsidRDefault="007B71AD" w:rsidP="00927849">
            <w:pPr>
              <w:pStyle w:val="BodyText"/>
              <w:spacing w:line="240" w:lineRule="auto"/>
              <w:ind w:left="720" w:firstLine="0"/>
              <w:outlineLvl w:val="0"/>
            </w:pPr>
          </w:p>
          <w:p w14:paraId="1EFB6DAE" w14:textId="77777777" w:rsidR="007B71AD" w:rsidRDefault="007B71AD" w:rsidP="00927849">
            <w:pPr>
              <w:pStyle w:val="BodyText"/>
              <w:spacing w:line="240" w:lineRule="auto"/>
              <w:ind w:left="720" w:firstLine="0"/>
              <w:outlineLvl w:val="0"/>
            </w:pPr>
          </w:p>
          <w:p w14:paraId="32BB8959" w14:textId="73095A4A" w:rsidR="00167563" w:rsidRDefault="00167563" w:rsidP="002E4033">
            <w:pPr>
              <w:pStyle w:val="BodyText"/>
              <w:spacing w:line="240" w:lineRule="auto"/>
              <w:ind w:left="720" w:firstLine="0"/>
              <w:outlineLvl w:val="0"/>
            </w:pPr>
          </w:p>
          <w:p w14:paraId="2B912F49" w14:textId="77777777" w:rsidR="00220DD5" w:rsidRDefault="00220DD5" w:rsidP="002E4033">
            <w:pPr>
              <w:pStyle w:val="BodyText"/>
              <w:spacing w:line="240" w:lineRule="auto"/>
              <w:ind w:firstLine="0"/>
              <w:outlineLvl w:val="0"/>
            </w:pPr>
          </w:p>
          <w:p w14:paraId="00D49E8C" w14:textId="610A5802" w:rsidR="000423C7" w:rsidRDefault="000423C7" w:rsidP="00927849">
            <w:pPr>
              <w:pStyle w:val="BodyText"/>
              <w:spacing w:line="240" w:lineRule="auto"/>
              <w:ind w:left="360" w:firstLine="0"/>
              <w:outlineLvl w:val="0"/>
            </w:pPr>
            <w:r>
              <w:t xml:space="preserve">Multifaceted &amp; </w:t>
            </w:r>
            <w:r w:rsidR="002E4033">
              <w:t>p</w:t>
            </w:r>
            <w:r>
              <w:t>atient-</w:t>
            </w:r>
            <w:r w:rsidR="002E4033">
              <w:t>c</w:t>
            </w:r>
            <w:r>
              <w:t xml:space="preserve">entered </w:t>
            </w:r>
            <w:r w:rsidR="002E4033">
              <w:t>s</w:t>
            </w:r>
            <w:r>
              <w:t>trategies</w:t>
            </w:r>
          </w:p>
          <w:p w14:paraId="129B2538" w14:textId="726DFECB" w:rsidR="006D78D4" w:rsidRDefault="006D78D4" w:rsidP="002E4033">
            <w:pPr>
              <w:pStyle w:val="BodyText"/>
              <w:spacing w:line="240" w:lineRule="auto"/>
              <w:ind w:left="720" w:firstLine="0"/>
              <w:outlineLvl w:val="0"/>
            </w:pPr>
          </w:p>
        </w:tc>
        <w:tc>
          <w:tcPr>
            <w:tcW w:w="4315" w:type="dxa"/>
            <w:tcBorders>
              <w:top w:val="single" w:sz="4" w:space="0" w:color="auto"/>
              <w:bottom w:val="single" w:sz="4" w:space="0" w:color="auto"/>
            </w:tcBorders>
          </w:tcPr>
          <w:p w14:paraId="64EF9841" w14:textId="64DF2F0C" w:rsidR="001068CB" w:rsidRDefault="0006767D" w:rsidP="00927849">
            <w:pPr>
              <w:pStyle w:val="BodyText"/>
              <w:spacing w:line="240" w:lineRule="auto"/>
              <w:ind w:left="360" w:firstLine="0"/>
              <w:outlineLvl w:val="0"/>
            </w:pPr>
            <w:r>
              <w:t xml:space="preserve">Digital </w:t>
            </w:r>
            <w:r w:rsidR="002E4033">
              <w:t>i</w:t>
            </w:r>
            <w:r>
              <w:t>nterventions</w:t>
            </w:r>
          </w:p>
          <w:p w14:paraId="4AA994C2" w14:textId="65C2B746" w:rsidR="0006767D" w:rsidRDefault="00796B4E" w:rsidP="00927849">
            <w:pPr>
              <w:pStyle w:val="BodyText"/>
              <w:spacing w:line="240" w:lineRule="auto"/>
              <w:ind w:left="360" w:firstLine="0"/>
              <w:outlineLvl w:val="0"/>
            </w:pPr>
            <w:r>
              <w:t>Web-based management</w:t>
            </w:r>
          </w:p>
          <w:p w14:paraId="1EAB56DD" w14:textId="2A4699AB" w:rsidR="00796B4E" w:rsidRDefault="00796B4E" w:rsidP="00927849">
            <w:pPr>
              <w:pStyle w:val="BodyText"/>
              <w:spacing w:line="240" w:lineRule="auto"/>
              <w:ind w:left="360" w:firstLine="0"/>
              <w:outlineLvl w:val="0"/>
            </w:pPr>
            <w:r>
              <w:t xml:space="preserve">Technology </w:t>
            </w:r>
            <w:r w:rsidR="002E4033">
              <w:t>a</w:t>
            </w:r>
            <w:r>
              <w:t xml:space="preserve">doption </w:t>
            </w:r>
            <w:r w:rsidR="002E4033">
              <w:t>a</w:t>
            </w:r>
            <w:r>
              <w:t>ccess</w:t>
            </w:r>
          </w:p>
          <w:p w14:paraId="408126DF" w14:textId="7182090A" w:rsidR="00C80DF0" w:rsidRDefault="00C80DF0" w:rsidP="00927849">
            <w:pPr>
              <w:pStyle w:val="BodyText"/>
              <w:spacing w:line="240" w:lineRule="auto"/>
              <w:ind w:left="360" w:firstLine="0"/>
              <w:outlineLvl w:val="0"/>
            </w:pPr>
            <w:r>
              <w:t xml:space="preserve">EHR </w:t>
            </w:r>
            <w:r w:rsidR="002E4033">
              <w:t>s</w:t>
            </w:r>
            <w:r>
              <w:t>ystems</w:t>
            </w:r>
          </w:p>
          <w:p w14:paraId="29B2F42F" w14:textId="77777777" w:rsidR="000F2446" w:rsidRDefault="000F2446" w:rsidP="00927849">
            <w:pPr>
              <w:pStyle w:val="BodyText"/>
              <w:spacing w:line="240" w:lineRule="auto"/>
              <w:ind w:left="360" w:firstLine="0"/>
              <w:outlineLvl w:val="0"/>
            </w:pPr>
          </w:p>
          <w:p w14:paraId="678CBA3A" w14:textId="019FD643" w:rsidR="001068CB" w:rsidRDefault="004D4F2B" w:rsidP="00927849">
            <w:pPr>
              <w:pStyle w:val="BodyText"/>
              <w:spacing w:line="240" w:lineRule="auto"/>
              <w:ind w:left="360" w:firstLine="0"/>
              <w:outlineLvl w:val="0"/>
            </w:pPr>
            <w:r>
              <w:t xml:space="preserve">Payment </w:t>
            </w:r>
            <w:r w:rsidR="002E4033">
              <w:t>s</w:t>
            </w:r>
            <w:r>
              <w:t xml:space="preserve">uccess &amp; </w:t>
            </w:r>
            <w:r w:rsidR="002E4033">
              <w:t>e</w:t>
            </w:r>
            <w:r>
              <w:t xml:space="preserve">conomic </w:t>
            </w:r>
            <w:r w:rsidR="002E4033">
              <w:t>f</w:t>
            </w:r>
            <w:r>
              <w:t>actors</w:t>
            </w:r>
          </w:p>
          <w:p w14:paraId="33C34718" w14:textId="6BEB7345" w:rsidR="00D56A92" w:rsidRDefault="002E4033" w:rsidP="00927849">
            <w:pPr>
              <w:pStyle w:val="BodyText"/>
              <w:spacing w:line="240" w:lineRule="auto"/>
              <w:ind w:left="360" w:firstLine="0"/>
              <w:outlineLvl w:val="0"/>
            </w:pPr>
            <w:r>
              <w:t>Inpatient/outpatient cost-sharing</w:t>
            </w:r>
          </w:p>
          <w:p w14:paraId="3AC6E0DF" w14:textId="42B22158" w:rsidR="00D36360" w:rsidRDefault="002E4033" w:rsidP="00927849">
            <w:pPr>
              <w:pStyle w:val="BodyText"/>
              <w:spacing w:line="240" w:lineRule="auto"/>
              <w:ind w:left="360" w:firstLine="0"/>
              <w:outlineLvl w:val="0"/>
            </w:pPr>
            <w:r>
              <w:t>Economic outcome rates</w:t>
            </w:r>
          </w:p>
          <w:p w14:paraId="22E65F21" w14:textId="77777777" w:rsidR="000F2446" w:rsidRDefault="000F2446" w:rsidP="00927849">
            <w:pPr>
              <w:pStyle w:val="BodyText"/>
              <w:spacing w:line="240" w:lineRule="auto"/>
              <w:ind w:left="360" w:firstLine="0"/>
              <w:outlineLvl w:val="0"/>
            </w:pPr>
          </w:p>
          <w:p w14:paraId="4D7C4167" w14:textId="77777777" w:rsidR="000F2446" w:rsidRDefault="000F2446" w:rsidP="00927849">
            <w:pPr>
              <w:pStyle w:val="BodyText"/>
              <w:spacing w:line="240" w:lineRule="auto"/>
              <w:ind w:left="360" w:firstLine="0"/>
              <w:outlineLvl w:val="0"/>
            </w:pPr>
          </w:p>
          <w:p w14:paraId="12DF5199" w14:textId="6A5E5A42" w:rsidR="000F2446" w:rsidRDefault="002E4033" w:rsidP="00927849">
            <w:pPr>
              <w:pStyle w:val="BodyText"/>
              <w:spacing w:line="240" w:lineRule="auto"/>
              <w:ind w:left="360" w:firstLine="0"/>
              <w:outlineLvl w:val="0"/>
            </w:pPr>
            <w:r>
              <w:t>Tailored strategies</w:t>
            </w:r>
          </w:p>
          <w:p w14:paraId="2447976B" w14:textId="4D83E3A6" w:rsidR="004D4F2B" w:rsidRDefault="002E4033" w:rsidP="00927849">
            <w:pPr>
              <w:pStyle w:val="BodyText"/>
              <w:spacing w:line="240" w:lineRule="auto"/>
              <w:ind w:left="360" w:firstLine="0"/>
              <w:outlineLvl w:val="0"/>
            </w:pPr>
            <w:r>
              <w:t>Prediction models</w:t>
            </w:r>
          </w:p>
          <w:p w14:paraId="27B9ADA3" w14:textId="57C1466C" w:rsidR="007B3BA3" w:rsidRDefault="002E4033" w:rsidP="00927849">
            <w:pPr>
              <w:pStyle w:val="BodyText"/>
              <w:spacing w:line="240" w:lineRule="auto"/>
              <w:ind w:left="360" w:firstLine="0"/>
              <w:outlineLvl w:val="0"/>
            </w:pPr>
            <w:r>
              <w:t>Screening tools risk</w:t>
            </w:r>
          </w:p>
          <w:p w14:paraId="02E3EDB0" w14:textId="190E75A7" w:rsidR="007B3BA3" w:rsidRDefault="002E4033" w:rsidP="00927849">
            <w:pPr>
              <w:pStyle w:val="BodyText"/>
              <w:spacing w:line="240" w:lineRule="auto"/>
              <w:ind w:left="360" w:firstLine="0"/>
              <w:outlineLvl w:val="0"/>
            </w:pPr>
            <w:r>
              <w:t xml:space="preserve">Intervention </w:t>
            </w:r>
            <w:r w:rsidR="000F2446">
              <w:t>Trials</w:t>
            </w:r>
            <w:r>
              <w:t xml:space="preserve"> Recommendations</w:t>
            </w:r>
          </w:p>
          <w:p w14:paraId="26E617E7" w14:textId="77777777" w:rsidR="000F2446" w:rsidRDefault="000F2446" w:rsidP="00927849">
            <w:pPr>
              <w:pStyle w:val="BodyText"/>
              <w:spacing w:line="240" w:lineRule="auto"/>
              <w:ind w:left="360" w:firstLine="0"/>
              <w:outlineLvl w:val="0"/>
            </w:pPr>
          </w:p>
          <w:p w14:paraId="557F5D26" w14:textId="618012E8" w:rsidR="007B71AD" w:rsidRDefault="002E4033" w:rsidP="00927849">
            <w:pPr>
              <w:pStyle w:val="BodyText"/>
              <w:spacing w:line="240" w:lineRule="auto"/>
              <w:ind w:left="360" w:firstLine="0"/>
              <w:outlineLvl w:val="0"/>
            </w:pPr>
            <w:r>
              <w:t>Alert &amp; compliance tracking</w:t>
            </w:r>
          </w:p>
          <w:p w14:paraId="5170CD33" w14:textId="09623DB4" w:rsidR="00167563" w:rsidRDefault="002E4033" w:rsidP="00927849">
            <w:pPr>
              <w:pStyle w:val="BodyText"/>
              <w:spacing w:line="240" w:lineRule="auto"/>
              <w:ind w:left="360" w:firstLine="0"/>
              <w:outlineLvl w:val="0"/>
            </w:pPr>
            <w:r>
              <w:t>Comprehensive strategies</w:t>
            </w:r>
          </w:p>
          <w:p w14:paraId="0AA9F4FF" w14:textId="44701BCB" w:rsidR="00165695" w:rsidRDefault="002E4033" w:rsidP="00927849">
            <w:pPr>
              <w:pStyle w:val="BodyText"/>
              <w:spacing w:line="240" w:lineRule="auto"/>
              <w:ind w:left="360" w:firstLine="0"/>
              <w:outlineLvl w:val="0"/>
            </w:pPr>
            <w:r>
              <w:t xml:space="preserve">Multiple strategic </w:t>
            </w:r>
            <w:r w:rsidR="000F2446">
              <w:t>approaches</w:t>
            </w:r>
          </w:p>
          <w:p w14:paraId="6A19D434" w14:textId="44DD10BA" w:rsidR="00AA189C" w:rsidRDefault="002E4033" w:rsidP="00927849">
            <w:pPr>
              <w:pStyle w:val="BodyText"/>
              <w:spacing w:line="240" w:lineRule="auto"/>
              <w:ind w:left="360" w:firstLine="0"/>
              <w:outlineLvl w:val="0"/>
            </w:pPr>
            <w:r>
              <w:t>Intervention success factors</w:t>
            </w:r>
          </w:p>
          <w:p w14:paraId="56B0D752" w14:textId="6FD7769A" w:rsidR="00142D74" w:rsidRDefault="002E4033" w:rsidP="00927849">
            <w:pPr>
              <w:pStyle w:val="BodyText"/>
              <w:spacing w:line="240" w:lineRule="auto"/>
              <w:ind w:left="360" w:firstLine="0"/>
              <w:outlineLvl w:val="0"/>
            </w:pPr>
            <w:r>
              <w:t>Healthcare outcomes support</w:t>
            </w:r>
          </w:p>
        </w:tc>
      </w:tr>
    </w:tbl>
    <w:p w14:paraId="7135D957" w14:textId="77777777" w:rsidR="00A6540F" w:rsidRDefault="00A6540F" w:rsidP="006333D6">
      <w:pPr>
        <w:spacing w:line="480" w:lineRule="auto"/>
        <w:ind w:firstLine="720"/>
        <w:rPr>
          <w:rFonts w:eastAsia="Aptos"/>
        </w:rPr>
      </w:pPr>
    </w:p>
    <w:p w14:paraId="6C5845A6" w14:textId="77777777" w:rsidR="000F0AF8" w:rsidRDefault="000F0AF8">
      <w:pPr>
        <w:autoSpaceDE/>
        <w:autoSpaceDN/>
        <w:adjustRightInd/>
        <w:snapToGrid/>
        <w:rPr>
          <w:rFonts w:eastAsia="Aptos"/>
        </w:rPr>
      </w:pPr>
      <w:r>
        <w:rPr>
          <w:rFonts w:eastAsia="Aptos"/>
        </w:rPr>
        <w:br w:type="page"/>
      </w:r>
    </w:p>
    <w:p w14:paraId="25B66C7A" w14:textId="3304C517" w:rsidR="008C4FBD" w:rsidRDefault="00042E1B" w:rsidP="00927849">
      <w:pPr>
        <w:pStyle w:val="APALevel0"/>
      </w:pPr>
      <w:r>
        <w:lastRenderedPageBreak/>
        <w:t xml:space="preserve">Part 3: </w:t>
      </w:r>
      <w:r w:rsidR="008C4FBD">
        <w:t>Presentation of Results</w:t>
      </w:r>
      <w:r w:rsidR="0058211F">
        <w:t xml:space="preserve"> and </w:t>
      </w:r>
      <w:r w:rsidR="002F5ADF">
        <w:t xml:space="preserve">Interpretation of </w:t>
      </w:r>
      <w:r w:rsidR="0058211F">
        <w:t>Findings</w:t>
      </w:r>
    </w:p>
    <w:p w14:paraId="68A3E3BE" w14:textId="37EDD347" w:rsidR="006379C6" w:rsidRDefault="006379C6" w:rsidP="006379C6">
      <w:pPr>
        <w:pStyle w:val="BodyText"/>
      </w:pPr>
      <w:r w:rsidRPr="008F5B5A">
        <w:t>The integrative review question was designed to identify potential strategies to implement in a</w:t>
      </w:r>
      <w:r w:rsidR="008C76FD">
        <w:t>n</w:t>
      </w:r>
      <w:r w:rsidRPr="008F5B5A">
        <w:t xml:space="preserve"> </w:t>
      </w:r>
      <w:r w:rsidR="008C76FD">
        <w:t>independent primary care clinic</w:t>
      </w:r>
      <w:r w:rsidRPr="008F5B5A">
        <w:t xml:space="preserve"> to reduce financial and administrative expenses associated wit</w:t>
      </w:r>
      <w:r>
        <w:t>h</w:t>
      </w:r>
      <w:r w:rsidRPr="008F5B5A">
        <w:t xml:space="preserve"> medication nonadherence. The four themes that emerged from the analysis of the systematically selected literature are discussed in depth in this section. </w:t>
      </w:r>
      <w:r w:rsidR="00F06772">
        <w:t>The final themes and subthemes are summarized i</w:t>
      </w:r>
      <w:r w:rsidR="002F5ADF">
        <w:t xml:space="preserve">n Table </w:t>
      </w:r>
      <w:r w:rsidR="00B81E25">
        <w:t>3</w:t>
      </w:r>
      <w:r w:rsidR="00F06772">
        <w:t>.</w:t>
      </w:r>
    </w:p>
    <w:p w14:paraId="0F2DFC0E" w14:textId="60DDD750" w:rsidR="001D42DF" w:rsidRDefault="002F5ADF" w:rsidP="001D42DF">
      <w:pPr>
        <w:pStyle w:val="Caption"/>
      </w:pPr>
      <w:r>
        <w:rPr>
          <w:b/>
          <w:bCs w:val="0"/>
        </w:rPr>
        <w:t xml:space="preserve">Table </w:t>
      </w:r>
      <w:r w:rsidR="00AB2109">
        <w:rPr>
          <w:b/>
          <w:bCs w:val="0"/>
        </w:rPr>
        <w:t>3</w:t>
      </w:r>
      <w:r w:rsidR="001D42DF">
        <w:br/>
      </w:r>
      <w:r w:rsidR="001D42DF">
        <w:rPr>
          <w:i/>
        </w:rPr>
        <w:t xml:space="preserve">Final Integrative Review </w:t>
      </w:r>
      <w:r w:rsidR="001D42DF" w:rsidRPr="004A7DDF">
        <w:rPr>
          <w:i/>
        </w:rPr>
        <w:t>Themes and Subthemes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1"/>
        <w:gridCol w:w="4259"/>
      </w:tblGrid>
      <w:tr w:rsidR="001D42DF" w:rsidRPr="00B81E25" w14:paraId="12553928" w14:textId="77777777" w:rsidTr="00927849">
        <w:tc>
          <w:tcPr>
            <w:tcW w:w="4381" w:type="dxa"/>
            <w:tcBorders>
              <w:top w:val="single" w:sz="4" w:space="0" w:color="auto"/>
              <w:bottom w:val="single" w:sz="4" w:space="0" w:color="auto"/>
            </w:tcBorders>
          </w:tcPr>
          <w:p w14:paraId="1F2E0946" w14:textId="39CF22D6" w:rsidR="001D42DF" w:rsidRPr="00B81E25" w:rsidRDefault="00B81E25" w:rsidP="009C269F">
            <w:r>
              <w:t>T</w:t>
            </w:r>
            <w:r w:rsidRPr="00B81E25">
              <w:t xml:space="preserve">hemes and subthemes </w:t>
            </w:r>
          </w:p>
        </w:tc>
        <w:tc>
          <w:tcPr>
            <w:tcW w:w="4259" w:type="dxa"/>
            <w:tcBorders>
              <w:top w:val="single" w:sz="4" w:space="0" w:color="auto"/>
              <w:bottom w:val="single" w:sz="4" w:space="0" w:color="auto"/>
            </w:tcBorders>
          </w:tcPr>
          <w:p w14:paraId="442674A2" w14:textId="5A782FA0" w:rsidR="001D42DF" w:rsidRPr="00B81E25" w:rsidRDefault="001D42DF" w:rsidP="009C269F">
            <w:r w:rsidRPr="00B81E25">
              <w:t xml:space="preserve">Relationship to </w:t>
            </w:r>
            <w:r w:rsidR="00B81E25">
              <w:t>t</w:t>
            </w:r>
            <w:r w:rsidRPr="00B81E25">
              <w:t xml:space="preserve">heory </w:t>
            </w:r>
          </w:p>
        </w:tc>
      </w:tr>
      <w:tr w:rsidR="001D42DF" w:rsidRPr="00B81E25" w14:paraId="08884948" w14:textId="77777777" w:rsidTr="00927849">
        <w:tc>
          <w:tcPr>
            <w:tcW w:w="4381" w:type="dxa"/>
            <w:tcBorders>
              <w:top w:val="single" w:sz="4" w:space="0" w:color="auto"/>
              <w:bottom w:val="single" w:sz="4" w:space="0" w:color="auto"/>
            </w:tcBorders>
          </w:tcPr>
          <w:p w14:paraId="6A7E5FE3" w14:textId="4FC7FCB1" w:rsidR="001D42DF" w:rsidRPr="00927849" w:rsidRDefault="00B81E25" w:rsidP="009C269F">
            <w:pPr>
              <w:autoSpaceDE/>
              <w:autoSpaceDN/>
              <w:adjustRightInd/>
              <w:snapToGrid/>
            </w:pPr>
            <w:r>
              <w:t>I</w:t>
            </w:r>
            <w:r w:rsidRPr="00B81E25">
              <w:t>mplement adherence technology</w:t>
            </w:r>
          </w:p>
          <w:p w14:paraId="0D3175B0" w14:textId="205A341A" w:rsidR="001D42DF" w:rsidRPr="00B81E25" w:rsidRDefault="00B81E25" w:rsidP="002D1851">
            <w:pPr>
              <w:numPr>
                <w:ilvl w:val="0"/>
                <w:numId w:val="3"/>
              </w:numPr>
              <w:autoSpaceDE/>
              <w:autoSpaceDN/>
              <w:adjustRightInd/>
              <w:snapToGrid/>
            </w:pPr>
            <w:r>
              <w:t>A</w:t>
            </w:r>
            <w:r w:rsidRPr="00B81E25">
              <w:t xml:space="preserve">dopt </w:t>
            </w:r>
            <w:r w:rsidR="00683E4D">
              <w:t>EHR</w:t>
            </w:r>
            <w:r w:rsidR="00683E4D" w:rsidRPr="00B81E25">
              <w:t xml:space="preserve"> </w:t>
            </w:r>
            <w:r w:rsidRPr="00B81E25">
              <w:t>monitoring tools</w:t>
            </w:r>
          </w:p>
          <w:p w14:paraId="18D75E28" w14:textId="77777777" w:rsidR="001D42DF" w:rsidRDefault="00B81E25" w:rsidP="002D1851">
            <w:pPr>
              <w:numPr>
                <w:ilvl w:val="0"/>
                <w:numId w:val="3"/>
              </w:numPr>
              <w:autoSpaceDE/>
              <w:autoSpaceDN/>
              <w:adjustRightInd/>
              <w:snapToGrid/>
            </w:pPr>
            <w:r>
              <w:t>U</w:t>
            </w:r>
            <w:r w:rsidRPr="00B81E25">
              <w:t>se predictive tools to identify high-risk patients</w:t>
            </w:r>
          </w:p>
          <w:p w14:paraId="4469384E" w14:textId="77777777" w:rsidR="00E8618B" w:rsidRDefault="00FF5E82" w:rsidP="002D1851">
            <w:pPr>
              <w:numPr>
                <w:ilvl w:val="0"/>
                <w:numId w:val="3"/>
              </w:numPr>
              <w:autoSpaceDE/>
              <w:autoSpaceDN/>
              <w:adjustRightInd/>
              <w:snapToGrid/>
            </w:pPr>
            <w:r>
              <w:t>Web-based management</w:t>
            </w:r>
          </w:p>
          <w:p w14:paraId="3D7C9BD5" w14:textId="487E9ED8" w:rsidR="00FF5E82" w:rsidRPr="00B81E25" w:rsidRDefault="00FF5E82" w:rsidP="002D1851">
            <w:pPr>
              <w:numPr>
                <w:ilvl w:val="0"/>
                <w:numId w:val="3"/>
              </w:numPr>
              <w:autoSpaceDE/>
              <w:autoSpaceDN/>
              <w:adjustRightInd/>
              <w:snapToGrid/>
            </w:pPr>
            <w:r>
              <w:t>Digital Interventions</w:t>
            </w:r>
          </w:p>
        </w:tc>
        <w:tc>
          <w:tcPr>
            <w:tcW w:w="4259" w:type="dxa"/>
            <w:tcBorders>
              <w:top w:val="single" w:sz="4" w:space="0" w:color="auto"/>
              <w:bottom w:val="single" w:sz="4" w:space="0" w:color="auto"/>
            </w:tcBorders>
          </w:tcPr>
          <w:p w14:paraId="70730B60" w14:textId="77777777" w:rsidR="001D42DF" w:rsidRPr="00B81E25" w:rsidRDefault="001D42DF" w:rsidP="009C269F">
            <w:r w:rsidRPr="00B81E25">
              <w:t xml:space="preserve">These reflect GST by leveraging integrated technology components, such as EHR and predictive tools, to create an interconnected system that enhances information flow, enables real-time feedback, and supports adaptive, data-driven decision making. </w:t>
            </w:r>
          </w:p>
        </w:tc>
      </w:tr>
      <w:tr w:rsidR="001D42DF" w:rsidRPr="00B81E25" w14:paraId="6991C344" w14:textId="77777777" w:rsidTr="00927849">
        <w:tc>
          <w:tcPr>
            <w:tcW w:w="4381" w:type="dxa"/>
            <w:tcBorders>
              <w:top w:val="single" w:sz="4" w:space="0" w:color="auto"/>
              <w:bottom w:val="single" w:sz="4" w:space="0" w:color="auto"/>
            </w:tcBorders>
          </w:tcPr>
          <w:p w14:paraId="6F6FF5BE" w14:textId="3509385C" w:rsidR="001D42DF" w:rsidRPr="00927849" w:rsidRDefault="00B81E25" w:rsidP="009C269F">
            <w:r>
              <w:t>D</w:t>
            </w:r>
            <w:r w:rsidRPr="00B81E25">
              <w:t>eliver targeted interventions</w:t>
            </w:r>
          </w:p>
          <w:p w14:paraId="353368C5" w14:textId="3DC3F68A" w:rsidR="001D42DF" w:rsidRPr="00B81E25" w:rsidRDefault="00B81E25" w:rsidP="002D1851">
            <w:pPr>
              <w:pStyle w:val="ListParagraph"/>
              <w:numPr>
                <w:ilvl w:val="0"/>
                <w:numId w:val="4"/>
              </w:numPr>
            </w:pPr>
            <w:r>
              <w:t>P</w:t>
            </w:r>
            <w:r w:rsidRPr="00B81E25">
              <w:t>rovide personalized counseling</w:t>
            </w:r>
          </w:p>
          <w:p w14:paraId="64383C4F" w14:textId="77777777" w:rsidR="001D42DF" w:rsidRDefault="00B81E25" w:rsidP="002D1851">
            <w:pPr>
              <w:pStyle w:val="ListParagraph"/>
              <w:numPr>
                <w:ilvl w:val="0"/>
                <w:numId w:val="4"/>
              </w:numPr>
            </w:pPr>
            <w:r>
              <w:t>A</w:t>
            </w:r>
            <w:r w:rsidRPr="00B81E25">
              <w:t>ddress cost and access barriers</w:t>
            </w:r>
          </w:p>
          <w:p w14:paraId="7306ABBE" w14:textId="77777777" w:rsidR="00FF5E82" w:rsidRDefault="00226989" w:rsidP="002D1851">
            <w:pPr>
              <w:pStyle w:val="ListParagraph"/>
              <w:numPr>
                <w:ilvl w:val="0"/>
                <w:numId w:val="4"/>
              </w:numPr>
            </w:pPr>
            <w:r>
              <w:t>Technology Adoption Access</w:t>
            </w:r>
          </w:p>
          <w:p w14:paraId="10471307" w14:textId="6CC29204" w:rsidR="00226989" w:rsidRPr="00B81E25" w:rsidRDefault="00C855C9" w:rsidP="002D1851">
            <w:pPr>
              <w:pStyle w:val="ListParagraph"/>
              <w:numPr>
                <w:ilvl w:val="0"/>
                <w:numId w:val="4"/>
              </w:numPr>
            </w:pPr>
            <w:r>
              <w:t>Intervention Success Factors</w:t>
            </w:r>
          </w:p>
        </w:tc>
        <w:tc>
          <w:tcPr>
            <w:tcW w:w="4259" w:type="dxa"/>
            <w:tcBorders>
              <w:top w:val="single" w:sz="4" w:space="0" w:color="auto"/>
              <w:bottom w:val="single" w:sz="4" w:space="0" w:color="auto"/>
            </w:tcBorders>
          </w:tcPr>
          <w:p w14:paraId="11B1B5A2" w14:textId="77777777" w:rsidR="001D42DF" w:rsidRPr="00B81E25" w:rsidRDefault="001D42DF" w:rsidP="009C269F">
            <w:r w:rsidRPr="00B81E25">
              <w:t>These attributes reflect the GST through personalized coaching, which is relevant to intervention success factors, and addressing cost and access barriers, relative technology integration, and innovation.</w:t>
            </w:r>
          </w:p>
        </w:tc>
      </w:tr>
      <w:tr w:rsidR="001D42DF" w:rsidRPr="00B81E25" w14:paraId="4047C5EE" w14:textId="77777777" w:rsidTr="00927849">
        <w:tc>
          <w:tcPr>
            <w:tcW w:w="4381" w:type="dxa"/>
            <w:tcBorders>
              <w:top w:val="single" w:sz="4" w:space="0" w:color="auto"/>
              <w:bottom w:val="single" w:sz="4" w:space="0" w:color="auto"/>
            </w:tcBorders>
          </w:tcPr>
          <w:p w14:paraId="17FD097B" w14:textId="27DE3C5F" w:rsidR="001D42DF" w:rsidRPr="00927849" w:rsidRDefault="00B81E25" w:rsidP="009C269F">
            <w:r>
              <w:t>S</w:t>
            </w:r>
            <w:r w:rsidRPr="00B81E25">
              <w:t>trengthen care team coordination</w:t>
            </w:r>
          </w:p>
          <w:p w14:paraId="61617E3C" w14:textId="13BEBF23" w:rsidR="001D42DF" w:rsidRPr="00B81E25" w:rsidRDefault="00B81E25" w:rsidP="002D1851">
            <w:pPr>
              <w:pStyle w:val="ListParagraph"/>
              <w:numPr>
                <w:ilvl w:val="0"/>
                <w:numId w:val="5"/>
              </w:numPr>
            </w:pPr>
            <w:r>
              <w:t>E</w:t>
            </w:r>
            <w:r w:rsidRPr="00B81E25">
              <w:t>stablish team-based workflows</w:t>
            </w:r>
          </w:p>
          <w:p w14:paraId="70453785" w14:textId="77777777" w:rsidR="001D42DF" w:rsidRDefault="00B81E25" w:rsidP="002D1851">
            <w:pPr>
              <w:pStyle w:val="ListParagraph"/>
              <w:numPr>
                <w:ilvl w:val="0"/>
                <w:numId w:val="5"/>
              </w:numPr>
            </w:pPr>
            <w:r>
              <w:t>I</w:t>
            </w:r>
            <w:r w:rsidRPr="00B81E25">
              <w:t>ntegrate pharmacists and support staff</w:t>
            </w:r>
          </w:p>
          <w:p w14:paraId="4B3A1F4B" w14:textId="77777777" w:rsidR="00231742" w:rsidRDefault="00231742" w:rsidP="002D1851">
            <w:pPr>
              <w:pStyle w:val="ListParagraph"/>
              <w:numPr>
                <w:ilvl w:val="0"/>
                <w:numId w:val="5"/>
              </w:numPr>
            </w:pPr>
            <w:r>
              <w:t>Intervention Trials</w:t>
            </w:r>
          </w:p>
          <w:p w14:paraId="7434B9BB" w14:textId="5AE757BF" w:rsidR="00231742" w:rsidRPr="00B81E25" w:rsidRDefault="00231742" w:rsidP="002D1851">
            <w:pPr>
              <w:pStyle w:val="ListParagraph"/>
              <w:numPr>
                <w:ilvl w:val="0"/>
                <w:numId w:val="5"/>
              </w:numPr>
            </w:pPr>
            <w:r>
              <w:t>Screening Tools  Risk</w:t>
            </w:r>
          </w:p>
        </w:tc>
        <w:tc>
          <w:tcPr>
            <w:tcW w:w="4259" w:type="dxa"/>
            <w:tcBorders>
              <w:top w:val="single" w:sz="4" w:space="0" w:color="auto"/>
              <w:bottom w:val="single" w:sz="4" w:space="0" w:color="auto"/>
            </w:tcBorders>
          </w:tcPr>
          <w:p w14:paraId="25C63764" w14:textId="77777777" w:rsidR="001D42DF" w:rsidRPr="00B81E25" w:rsidRDefault="001D42DF" w:rsidP="009C269F">
            <w:r w:rsidRPr="00B81E25">
              <w:t>Establishing a team-based workflow is analogous to an interdisciplinary, team-based strategic approach grounded in the GST.</w:t>
            </w:r>
          </w:p>
        </w:tc>
      </w:tr>
      <w:tr w:rsidR="001D42DF" w:rsidRPr="00B81E25" w14:paraId="47C2F9D9" w14:textId="77777777" w:rsidTr="00927849">
        <w:tc>
          <w:tcPr>
            <w:tcW w:w="4381" w:type="dxa"/>
            <w:tcBorders>
              <w:top w:val="single" w:sz="4" w:space="0" w:color="auto"/>
            </w:tcBorders>
          </w:tcPr>
          <w:p w14:paraId="1C8103B2" w14:textId="71B04EEC" w:rsidR="001D42DF" w:rsidRPr="00927849" w:rsidRDefault="00B81E25" w:rsidP="009C269F">
            <w:r>
              <w:t>I</w:t>
            </w:r>
            <w:r w:rsidRPr="00B81E25">
              <w:t>mplement system-level strategies</w:t>
            </w:r>
          </w:p>
          <w:p w14:paraId="1C777B0A" w14:textId="13D0B810" w:rsidR="001D42DF" w:rsidRPr="00B81E25" w:rsidRDefault="00B81E25" w:rsidP="002D1851">
            <w:pPr>
              <w:pStyle w:val="ListParagraph"/>
              <w:numPr>
                <w:ilvl w:val="0"/>
                <w:numId w:val="6"/>
              </w:numPr>
            </w:pPr>
            <w:r>
              <w:t>C</w:t>
            </w:r>
            <w:r w:rsidRPr="00B81E25">
              <w:t>ombine technology and behavioral approaches</w:t>
            </w:r>
          </w:p>
          <w:p w14:paraId="746459A0" w14:textId="77777777" w:rsidR="001D42DF" w:rsidRDefault="00B81E25" w:rsidP="002D1851">
            <w:pPr>
              <w:pStyle w:val="ListParagraph"/>
              <w:numPr>
                <w:ilvl w:val="0"/>
                <w:numId w:val="6"/>
              </w:numPr>
            </w:pPr>
            <w:r>
              <w:t>E</w:t>
            </w:r>
            <w:r w:rsidRPr="00B81E25">
              <w:t>valuate and refine adherence programs</w:t>
            </w:r>
          </w:p>
          <w:p w14:paraId="1E64AC45" w14:textId="77777777" w:rsidR="00FF5E82" w:rsidRDefault="00226989" w:rsidP="002D1851">
            <w:pPr>
              <w:pStyle w:val="ListParagraph"/>
              <w:numPr>
                <w:ilvl w:val="0"/>
                <w:numId w:val="6"/>
              </w:numPr>
            </w:pPr>
            <w:r>
              <w:t>Comprehensive Strategies</w:t>
            </w:r>
          </w:p>
          <w:p w14:paraId="2EB7EB07" w14:textId="1976F923" w:rsidR="00226989" w:rsidRPr="00B81E25" w:rsidRDefault="00226989" w:rsidP="002D1851">
            <w:pPr>
              <w:pStyle w:val="ListParagraph"/>
              <w:numPr>
                <w:ilvl w:val="0"/>
                <w:numId w:val="6"/>
              </w:numPr>
            </w:pPr>
            <w:r>
              <w:t>Multiple Strategic Approach</w:t>
            </w:r>
          </w:p>
        </w:tc>
        <w:tc>
          <w:tcPr>
            <w:tcW w:w="4259" w:type="dxa"/>
            <w:tcBorders>
              <w:top w:val="single" w:sz="4" w:space="0" w:color="auto"/>
            </w:tcBorders>
          </w:tcPr>
          <w:p w14:paraId="60C02E74" w14:textId="6FB4BBE3" w:rsidR="001D42DF" w:rsidRPr="00B81E25" w:rsidRDefault="001D42DF" w:rsidP="009C269F">
            <w:r w:rsidRPr="00B81E25">
              <w:t xml:space="preserve">Implementing system-level strategies </w:t>
            </w:r>
            <w:r w:rsidR="002D47B2" w:rsidRPr="00B81E25">
              <w:t>relating</w:t>
            </w:r>
            <w:r w:rsidRPr="00B81E25">
              <w:t xml:space="preserve"> to the GST </w:t>
            </w:r>
            <w:r w:rsidR="002D47B2" w:rsidRPr="00B81E25">
              <w:t>using a multifaceted, patient-centered approach will be required</w:t>
            </w:r>
            <w:r w:rsidRPr="00B81E25">
              <w:t xml:space="preserve"> for optimal resolution. The combination of strategies calls for a more comprehensive approach.</w:t>
            </w:r>
          </w:p>
        </w:tc>
      </w:tr>
    </w:tbl>
    <w:p w14:paraId="5C4BE1DE" w14:textId="77777777" w:rsidR="00947DBE" w:rsidRDefault="00947DBE" w:rsidP="006379C6">
      <w:pPr>
        <w:pStyle w:val="BodyText"/>
      </w:pPr>
    </w:p>
    <w:p w14:paraId="54A12529" w14:textId="77777777" w:rsidR="00947DBE" w:rsidRDefault="00947DBE" w:rsidP="006379C6">
      <w:pPr>
        <w:pStyle w:val="BodyText"/>
      </w:pPr>
    </w:p>
    <w:p w14:paraId="4DB34D70" w14:textId="50D5A5CD" w:rsidR="00031B33" w:rsidRPr="001C68D1" w:rsidRDefault="00031B33" w:rsidP="00927849">
      <w:pPr>
        <w:pStyle w:val="APALevel1"/>
      </w:pPr>
      <w:r w:rsidRPr="001C68D1">
        <w:t>Presentation of Results</w:t>
      </w:r>
    </w:p>
    <w:p w14:paraId="775BC5F9" w14:textId="581F297C" w:rsidR="00031B33" w:rsidRDefault="00031B33" w:rsidP="00927849">
      <w:pPr>
        <w:pStyle w:val="APALevel2"/>
      </w:pPr>
      <w:r>
        <w:t>Implement Adherence Technology</w:t>
      </w:r>
    </w:p>
    <w:p w14:paraId="0F08FCDF" w14:textId="38E61CF3" w:rsidR="00031B33" w:rsidRDefault="00031B33" w:rsidP="00031B33">
      <w:pPr>
        <w:pStyle w:val="BodyText"/>
        <w:ind w:firstLine="0"/>
      </w:pPr>
      <w:r>
        <w:rPr>
          <w:b/>
          <w:bCs/>
        </w:rPr>
        <w:tab/>
      </w:r>
      <w:r w:rsidRPr="001C68D1">
        <w:t xml:space="preserve">This theme emphasizes the use of integrated technological solutions to improve medication adherence and reduce administrative burden within primary care settings. The literature supports </w:t>
      </w:r>
      <w:r w:rsidR="0076635F" w:rsidRPr="001C68D1">
        <w:t>those digital tools</w:t>
      </w:r>
      <w:r w:rsidRPr="001C68D1">
        <w:t>, when embedded into clinical workflows, can enhance monitoring capabilities and improve operational efficiency (Bohlmann et al., 2021; Zhang et al., 2022).</w:t>
      </w:r>
    </w:p>
    <w:p w14:paraId="787E9618" w14:textId="670C6356" w:rsidR="00031B33" w:rsidRDefault="00031B33" w:rsidP="00031B33">
      <w:pPr>
        <w:pStyle w:val="BodyText"/>
        <w:ind w:firstLine="0"/>
        <w:rPr>
          <w:b/>
          <w:bCs/>
          <w:i/>
          <w:iCs/>
        </w:rPr>
      </w:pPr>
      <w:r w:rsidRPr="001C68D1">
        <w:rPr>
          <w:b/>
          <w:bCs/>
          <w:i/>
          <w:iCs/>
        </w:rPr>
        <w:t>Adopt EHR and Digital Monitoring Tools</w:t>
      </w:r>
    </w:p>
    <w:p w14:paraId="3D0166A7" w14:textId="343A0DB3" w:rsidR="00031B33" w:rsidRDefault="00031B33" w:rsidP="00031B33">
      <w:pPr>
        <w:pStyle w:val="BodyText"/>
        <w:ind w:firstLine="0"/>
      </w:pPr>
      <w:r>
        <w:rPr>
          <w:b/>
          <w:bCs/>
          <w:i/>
          <w:iCs/>
        </w:rPr>
        <w:tab/>
      </w:r>
      <w:r w:rsidRPr="001C68D1">
        <w:t>E</w:t>
      </w:r>
      <w:r w:rsidR="00500D50">
        <w:t xml:space="preserve">lectronic </w:t>
      </w:r>
      <w:r w:rsidRPr="001C68D1">
        <w:t>H</w:t>
      </w:r>
      <w:r w:rsidR="00A00142">
        <w:t xml:space="preserve">ealth </w:t>
      </w:r>
      <w:r w:rsidRPr="001C68D1">
        <w:t>R</w:t>
      </w:r>
      <w:r w:rsidR="00A00142">
        <w:t>ecords (EHR)</w:t>
      </w:r>
      <w:r w:rsidRPr="001C68D1">
        <w:t xml:space="preserve"> systems and digital monitoring tools enable real-time tracking of patient medication adherence and facilitate improved coordination across care teams. Evidence indicates that integrated EHR use is associated with reductions in medication errors and improved care management processes (Al-Arkee et al., 2021; Gil-Guillen et al., 2022).</w:t>
      </w:r>
    </w:p>
    <w:p w14:paraId="05625BDC" w14:textId="0291AB78" w:rsidR="00031B33" w:rsidRDefault="00031B33" w:rsidP="00031B33">
      <w:pPr>
        <w:pStyle w:val="BodyText"/>
        <w:ind w:firstLine="0"/>
        <w:rPr>
          <w:b/>
          <w:bCs/>
          <w:i/>
          <w:iCs/>
        </w:rPr>
      </w:pPr>
      <w:r w:rsidRPr="001C68D1">
        <w:rPr>
          <w:b/>
          <w:bCs/>
          <w:i/>
          <w:iCs/>
        </w:rPr>
        <w:t>Use Predictive Tools to Identify High-Risk Patients</w:t>
      </w:r>
    </w:p>
    <w:p w14:paraId="3693AA31" w14:textId="5A45C43A" w:rsidR="00031B33" w:rsidRDefault="00031B33" w:rsidP="00031B33">
      <w:pPr>
        <w:pStyle w:val="BodyText"/>
      </w:pPr>
      <w:r w:rsidRPr="001C68D1">
        <w:t xml:space="preserve">Predictive tools support the identification of patients at higher risk for medication nonadherence, allowing for earlier and more targeted interventions. </w:t>
      </w:r>
      <w:r w:rsidR="00035496">
        <w:t>D</w:t>
      </w:r>
      <w:r w:rsidRPr="001C68D1">
        <w:t>ata-driven risk stratification improves resource allocation and enhances the effectiveness of adherence strategies (Babel et al., 2021; Emami et al., 2023).</w:t>
      </w:r>
    </w:p>
    <w:p w14:paraId="0A33A751" w14:textId="04092705" w:rsidR="00031B33" w:rsidRPr="001C68D1" w:rsidRDefault="00031B33" w:rsidP="00927849">
      <w:pPr>
        <w:pStyle w:val="APALevel2"/>
      </w:pPr>
      <w:r w:rsidRPr="001C68D1">
        <w:t>Deliver Targeted Interventions</w:t>
      </w:r>
    </w:p>
    <w:p w14:paraId="00C3314F" w14:textId="75F6EE44" w:rsidR="00031B33" w:rsidRDefault="00031B33" w:rsidP="00031B33">
      <w:pPr>
        <w:pStyle w:val="BodyText"/>
        <w:ind w:firstLine="0"/>
      </w:pPr>
      <w:r>
        <w:tab/>
      </w:r>
      <w:r w:rsidR="00FC6D5B" w:rsidRPr="00FC6D5B">
        <w:t xml:space="preserve">The theme is related to technology integration and innovation, </w:t>
      </w:r>
      <w:r w:rsidR="00FC6D5B">
        <w:t>offering a chance to reduce costs through increased efficiency</w:t>
      </w:r>
      <w:r w:rsidR="00FC6D5B" w:rsidRPr="00FC6D5B">
        <w:t xml:space="preserve">. All evidence used in developing this theme always proved a point that more targeted interventions, which are customized according </w:t>
      </w:r>
      <w:r w:rsidR="00FC6D5B" w:rsidRPr="00FC6D5B">
        <w:lastRenderedPageBreak/>
        <w:t>to patient needs, are more effective than those with little variance in patients, such as general interventions (Loots et al., 2021; Zhang et al., 2021).</w:t>
      </w:r>
    </w:p>
    <w:p w14:paraId="1DFEF7EB" w14:textId="3C0EC7B6" w:rsidR="00031B33" w:rsidRPr="001C68D1" w:rsidRDefault="00031B33" w:rsidP="00031B33">
      <w:pPr>
        <w:pStyle w:val="BodyText"/>
        <w:ind w:firstLine="0"/>
        <w:rPr>
          <w:b/>
          <w:bCs/>
          <w:i/>
          <w:iCs/>
        </w:rPr>
      </w:pPr>
      <w:r w:rsidRPr="001C68D1">
        <w:rPr>
          <w:b/>
          <w:bCs/>
          <w:i/>
          <w:iCs/>
        </w:rPr>
        <w:t>Provide Personalized Counseling</w:t>
      </w:r>
    </w:p>
    <w:p w14:paraId="15D94E23" w14:textId="1AC0840B" w:rsidR="00CB596D" w:rsidRDefault="00A91385" w:rsidP="00031B33">
      <w:pPr>
        <w:pStyle w:val="BodyText"/>
        <w:ind w:firstLine="0"/>
      </w:pPr>
      <w:r>
        <w:tab/>
      </w:r>
      <w:r w:rsidR="00CB596D" w:rsidRPr="00CB596D">
        <w:t xml:space="preserve">Personalized therapy is also known as individualized therapy or person-centered therapy. Personalized therapy is an approach that is based on the characteristics of an individual. Personalized therapy is different from traditional therapy in the sense that it does not follow a traditional protocol of therapy but attempts to tailor a plan of therapy based on the individual’s needs. This may include the individual’s personal history, desires, and any problems </w:t>
      </w:r>
      <w:r w:rsidR="002469A4">
        <w:t>they</w:t>
      </w:r>
      <w:r w:rsidR="00CB596D" w:rsidRPr="00CB596D">
        <w:t xml:space="preserve"> may have.</w:t>
      </w:r>
    </w:p>
    <w:p w14:paraId="7686E9BF" w14:textId="55A77FA9" w:rsidR="00031B33" w:rsidRPr="001C68D1" w:rsidRDefault="00031B33" w:rsidP="00031B33">
      <w:pPr>
        <w:pStyle w:val="BodyText"/>
        <w:ind w:firstLine="0"/>
        <w:rPr>
          <w:b/>
          <w:bCs/>
          <w:i/>
          <w:iCs/>
        </w:rPr>
      </w:pPr>
      <w:r w:rsidRPr="001C68D1">
        <w:rPr>
          <w:b/>
          <w:bCs/>
          <w:i/>
          <w:iCs/>
        </w:rPr>
        <w:t>Address Cost and Access Barriers</w:t>
      </w:r>
    </w:p>
    <w:p w14:paraId="794F304B" w14:textId="4C098994" w:rsidR="00031B33" w:rsidRDefault="00031B33" w:rsidP="00031B33">
      <w:pPr>
        <w:pStyle w:val="BodyText"/>
        <w:ind w:firstLine="0"/>
      </w:pPr>
      <w:r>
        <w:tab/>
      </w:r>
      <w:r w:rsidR="006B798C" w:rsidRPr="006B798C">
        <w:t>With access to healthcare, patients have the power to develop a positive relationship with healthcare providers and eventually rise above disease and injuries. Without access to healthcare, an individual suffers unnecessarily with pain and/or conditions that worsen over time</w:t>
      </w:r>
      <w:r w:rsidR="006B798C">
        <w:t xml:space="preserve"> (USC Price, 2023).</w:t>
      </w:r>
    </w:p>
    <w:p w14:paraId="2A021B90" w14:textId="729AEB95" w:rsidR="00031B33" w:rsidRPr="001C68D1" w:rsidRDefault="00031B33" w:rsidP="00927849">
      <w:pPr>
        <w:pStyle w:val="APALevel2"/>
      </w:pPr>
      <w:r w:rsidRPr="001C68D1">
        <w:t>Strengthen Care Team Coordination</w:t>
      </w:r>
    </w:p>
    <w:p w14:paraId="61D25316" w14:textId="5FC0A7AF" w:rsidR="002F5ADF" w:rsidRDefault="00031B33" w:rsidP="00031B33">
      <w:pPr>
        <w:pStyle w:val="BodyText"/>
        <w:ind w:firstLine="0"/>
      </w:pPr>
      <w:r>
        <w:tab/>
      </w:r>
      <w:r w:rsidR="00321AE9" w:rsidRPr="00321AE9">
        <w:t>This theme fits in with the cost reduction strategies and interventions, as the additional work and time involved in personalizing counseling according to the patient’s needs can lead to cost reductions through error reduction and enhanced communication. Moreover, discussions on cost reduction for treatment can also lead to cost reductions, thus supporting previous research on the benefits of personalization in improving patient adherence to medication (Loots et al., 2021).</w:t>
      </w:r>
    </w:p>
    <w:p w14:paraId="7CEDCB4C" w14:textId="77777777" w:rsidR="002F5ADF" w:rsidRDefault="002F5ADF">
      <w:pPr>
        <w:autoSpaceDE/>
        <w:autoSpaceDN/>
        <w:adjustRightInd/>
        <w:snapToGrid/>
      </w:pPr>
      <w:r>
        <w:br w:type="page"/>
      </w:r>
    </w:p>
    <w:p w14:paraId="7275CC0E" w14:textId="08F7D346" w:rsidR="00237219" w:rsidRPr="001C68D1" w:rsidRDefault="00237219" w:rsidP="00927849">
      <w:pPr>
        <w:pStyle w:val="APALevel3"/>
      </w:pPr>
      <w:r w:rsidRPr="001C68D1">
        <w:lastRenderedPageBreak/>
        <w:t>Establish Team-Based Workflows</w:t>
      </w:r>
    </w:p>
    <w:p w14:paraId="0DC2D3EB" w14:textId="6D034E4F" w:rsidR="00237219" w:rsidRDefault="00237219" w:rsidP="00031B33">
      <w:pPr>
        <w:pStyle w:val="BodyText"/>
        <w:ind w:firstLine="0"/>
      </w:pPr>
      <w:r>
        <w:tab/>
      </w:r>
      <w:r w:rsidR="00A264D9" w:rsidRPr="00A264D9">
        <w:t xml:space="preserve">This </w:t>
      </w:r>
      <w:r w:rsidR="00A264D9">
        <w:t>subtheme is</w:t>
      </w:r>
      <w:r w:rsidR="00A264D9" w:rsidRPr="00A264D9">
        <w:t xml:space="preserve"> consistent with the concept of strategic comprehensiveness and confirms previous research that highlights the need for an interdisciplinary care approach, even for smaller </w:t>
      </w:r>
      <w:r w:rsidR="00EE0CE7">
        <w:t>primary care</w:t>
      </w:r>
      <w:r w:rsidR="00A264D9" w:rsidRPr="00A264D9">
        <w:t xml:space="preserve"> clinics such as those being studied (Bohlmann et al., 2021). Team strategies may also aid in relieving stress levels on an administrative level by distributing activities needed for optimizing medication.</w:t>
      </w:r>
    </w:p>
    <w:p w14:paraId="6F05729A" w14:textId="30AC5AB9" w:rsidR="00237219" w:rsidRPr="001C68D1" w:rsidRDefault="00237219" w:rsidP="00927849">
      <w:pPr>
        <w:pStyle w:val="APALevel3"/>
      </w:pPr>
      <w:r w:rsidRPr="001C68D1">
        <w:t>Integrate Pharmacists and Support Staff</w:t>
      </w:r>
    </w:p>
    <w:p w14:paraId="4FCAE91C" w14:textId="4A9306BE" w:rsidR="00237219" w:rsidRDefault="00EC6E3D" w:rsidP="00031B33">
      <w:pPr>
        <w:pStyle w:val="BodyText"/>
        <w:ind w:firstLine="0"/>
      </w:pPr>
      <w:r>
        <w:tab/>
      </w:r>
      <w:r w:rsidRPr="00EC6E3D">
        <w:t xml:space="preserve">The patient-clinician </w:t>
      </w:r>
      <w:r>
        <w:t xml:space="preserve">relationship dynamic refers to the quality of communication and level of trust </w:t>
      </w:r>
      <w:r w:rsidRPr="00EC6E3D">
        <w:t>a patient has with a care provider. Previous evidence has shown that the patient-clinician relationship was a strong predictor of medication adherence and quality of care, making it a focal point at an administrative level within a standalone clinic, as discussed in Zhang et al. (2022).</w:t>
      </w:r>
    </w:p>
    <w:p w14:paraId="222C46FA" w14:textId="5B2A173B" w:rsidR="00237219" w:rsidRPr="001C68D1" w:rsidRDefault="00237219" w:rsidP="00927849">
      <w:pPr>
        <w:pStyle w:val="APALevel2"/>
      </w:pPr>
      <w:r w:rsidRPr="001C68D1">
        <w:t>Implement System-Level Strategies</w:t>
      </w:r>
    </w:p>
    <w:p w14:paraId="50C8F492" w14:textId="251022EA" w:rsidR="00237219" w:rsidRDefault="00B579F6" w:rsidP="001C68D1">
      <w:pPr>
        <w:pStyle w:val="BodyText"/>
      </w:pPr>
      <w:r>
        <w:t>C</w:t>
      </w:r>
      <w:r w:rsidRPr="00B579F6">
        <w:t>omprehensive strategies</w:t>
      </w:r>
      <w:r>
        <w:t xml:space="preserve"> </w:t>
      </w:r>
      <w:r w:rsidRPr="00B579F6">
        <w:t>refer to those strategies that are patient-specific in nature and cover different strategies to address each of these patient needs. This theme is consistent with previous literature, which has shown that patient individualization and comprehensive interventions are each essential for optimal medication management (Busch et al., 2022; Zhang et al., 2022).</w:t>
      </w:r>
    </w:p>
    <w:p w14:paraId="0A98952C" w14:textId="47A112E2" w:rsidR="00237219" w:rsidRPr="001C68D1" w:rsidRDefault="00237219" w:rsidP="00927849">
      <w:pPr>
        <w:pStyle w:val="APALevel3"/>
      </w:pPr>
      <w:r w:rsidRPr="001C68D1">
        <w:t>Combine Technology and Behavioral Approaches</w:t>
      </w:r>
    </w:p>
    <w:p w14:paraId="52E2B818" w14:textId="7F067C5D" w:rsidR="00237219" w:rsidRDefault="00F63C26" w:rsidP="001C68D1">
      <w:pPr>
        <w:pStyle w:val="BodyText"/>
      </w:pPr>
      <w:r w:rsidRPr="00F63C26">
        <w:t xml:space="preserve">Studies have established that team-based technology integration is likely to bring about stable and permanent change over time compared to isolated technology usage by individual clinicians (Cady, 2021). Therefore, the best way to integrate technology to support medication adherence is through </w:t>
      </w:r>
      <w:r>
        <w:t>a</w:t>
      </w:r>
      <w:r w:rsidRPr="00F63C26">
        <w:t xml:space="preserve"> systematic approach, which can facilitate the </w:t>
      </w:r>
      <w:r w:rsidRPr="00F63C26">
        <w:lastRenderedPageBreak/>
        <w:t>functioning of the interdisciplinary team. Multidisciplinary support is essential in the successful integration of technology to support medication adherence and reduce the negative financial impacts of technology integration</w:t>
      </w:r>
      <w:r w:rsidR="006C3048">
        <w:t xml:space="preserve"> (</w:t>
      </w:r>
      <w:r w:rsidR="006C3048" w:rsidRPr="006C3048">
        <w:t xml:space="preserve">Alsyouf et al., 2023). </w:t>
      </w:r>
    </w:p>
    <w:p w14:paraId="1A05FEDA" w14:textId="62DF68BD" w:rsidR="00237219" w:rsidRPr="001C68D1" w:rsidRDefault="00237219" w:rsidP="00927849">
      <w:pPr>
        <w:pStyle w:val="APALevel3"/>
      </w:pPr>
      <w:r w:rsidRPr="001C68D1">
        <w:t>Evaluate and Refine Adherence Programs</w:t>
      </w:r>
    </w:p>
    <w:p w14:paraId="6F8E7E20" w14:textId="40856C58" w:rsidR="00237219" w:rsidRPr="001C68D1" w:rsidRDefault="00237219" w:rsidP="001C68D1">
      <w:pPr>
        <w:pStyle w:val="BodyText"/>
        <w:ind w:firstLine="0"/>
      </w:pPr>
      <w:r>
        <w:tab/>
      </w:r>
      <w:r w:rsidR="001618A4" w:rsidRPr="001618A4">
        <w:t>This sub-theme also links with the targeted medical interventions because of the potential for EHR systems to ensure the accuracy of patient monitoring. There was evidence of the existence of this theme in the works of Al-Arkee et al. (2021) and Gil-Guillen et al. (2022), who found that the integration of EHR systems reduced medication errors as well as the cost of monitoring medication compliance.</w:t>
      </w:r>
    </w:p>
    <w:p w14:paraId="1E10280E" w14:textId="00E16A0F" w:rsidR="006379C6" w:rsidRDefault="00895F46" w:rsidP="006379C6">
      <w:pPr>
        <w:pStyle w:val="APALevel1"/>
      </w:pPr>
      <w:r>
        <w:t xml:space="preserve">Interpretations of </w:t>
      </w:r>
      <w:r w:rsidR="006379C6" w:rsidRPr="008F5B5A">
        <w:t>Findings</w:t>
      </w:r>
    </w:p>
    <w:p w14:paraId="501B8DE2" w14:textId="7A997680" w:rsidR="00237219" w:rsidRDefault="00237219" w:rsidP="006379C6">
      <w:pPr>
        <w:pStyle w:val="BodyText"/>
      </w:pPr>
      <w:r w:rsidRPr="00237219">
        <w:t>This section interprets the findings of the integrative review by comparing the identified themes with existing literature and situating them within GST. The analysis focuses on how the findings confirm, extend, or refine current knowledge related to medication nonadherence and administrative cost-reduction strategies in primary care settings. Interpretations are grounded in the evidence presented and remain within the scope of the integrative review.</w:t>
      </w:r>
    </w:p>
    <w:p w14:paraId="60D32002" w14:textId="4C0C728D" w:rsidR="00237219" w:rsidRPr="001C68D1" w:rsidRDefault="00237219" w:rsidP="00927849">
      <w:pPr>
        <w:pStyle w:val="APALevel2"/>
      </w:pPr>
      <w:r w:rsidRPr="001C68D1">
        <w:t>Implement Adherence Technology</w:t>
      </w:r>
    </w:p>
    <w:p w14:paraId="06A9A44D" w14:textId="407ECA65" w:rsidR="00237219" w:rsidRDefault="00237219" w:rsidP="00237219">
      <w:pPr>
        <w:pStyle w:val="BodyText"/>
      </w:pPr>
      <w:r w:rsidRPr="00237219">
        <w:t xml:space="preserve">The findings confirm existing literature that supports the use of technology to improve medication adherence and reduce administrative burden (Bohlmann et al., 2021; Zhang et al., 2022). While prior studies have largely focused on larger health systems, these findings extend current knowledge by demonstrating the applicability of technology-driven strategies within smaller primary care settings. Consistent with </w:t>
      </w:r>
      <w:r w:rsidR="008A51FA">
        <w:t>GST</w:t>
      </w:r>
      <w:r w:rsidRPr="00237219">
        <w:t xml:space="preserve">, the integration of technology reflects an interconnected system that enhances information </w:t>
      </w:r>
      <w:r w:rsidRPr="00237219">
        <w:lastRenderedPageBreak/>
        <w:t>flow and supports adaptive decision-making across organizational components (Bertalanffy, 1969; Issitt, 2024).</w:t>
      </w:r>
    </w:p>
    <w:p w14:paraId="38E62307" w14:textId="44F920AB" w:rsidR="00237219" w:rsidRDefault="00237219" w:rsidP="00237219">
      <w:pPr>
        <w:pStyle w:val="BodyText"/>
        <w:ind w:firstLine="0"/>
        <w:rPr>
          <w:b/>
          <w:bCs/>
          <w:i/>
          <w:iCs/>
        </w:rPr>
      </w:pPr>
      <w:r>
        <w:rPr>
          <w:b/>
          <w:bCs/>
          <w:i/>
          <w:iCs/>
        </w:rPr>
        <w:t>Adopt EHR and Digital Monitoring Tools</w:t>
      </w:r>
    </w:p>
    <w:p w14:paraId="1216ED72" w14:textId="2BDB562C" w:rsidR="00237219" w:rsidRPr="00237219" w:rsidRDefault="00237219" w:rsidP="001C68D1">
      <w:pPr>
        <w:pStyle w:val="BodyText"/>
        <w:ind w:firstLine="0"/>
      </w:pPr>
      <w:r>
        <w:rPr>
          <w:b/>
          <w:bCs/>
          <w:i/>
          <w:iCs/>
        </w:rPr>
        <w:tab/>
      </w:r>
      <w:r w:rsidRPr="001C68D1">
        <w:t xml:space="preserve">The findings align with existing evidence that EHR systems and digital monitoring tools improve care coordination and reduce medication-related errors (Al-Arkee et al., 2021; Gil-Guillen et al., 2022). These results confirm that integrated data systems strengthen communication and workflow efficiency within healthcare organizations. From a </w:t>
      </w:r>
      <w:r w:rsidR="008A51FA">
        <w:t>GST</w:t>
      </w:r>
      <w:r w:rsidRPr="001C68D1">
        <w:t xml:space="preserve"> perspective, EHR systems function as a central mechanism for feedback loops, enabling continuous information exchange and system-wide coordination (Bertalanffy, 1969; Issitt, 2024).</w:t>
      </w:r>
    </w:p>
    <w:p w14:paraId="26DC94FD" w14:textId="77777777" w:rsidR="00C5764E" w:rsidRDefault="00C5764E" w:rsidP="00C5764E">
      <w:pPr>
        <w:pStyle w:val="BodyText"/>
        <w:ind w:firstLine="0"/>
        <w:rPr>
          <w:b/>
          <w:bCs/>
          <w:i/>
          <w:iCs/>
        </w:rPr>
      </w:pPr>
      <w:r w:rsidRPr="001C68D1">
        <w:rPr>
          <w:b/>
          <w:bCs/>
          <w:i/>
          <w:iCs/>
        </w:rPr>
        <w:t>Use Predictive Tools to Identify High-Risk Patients</w:t>
      </w:r>
    </w:p>
    <w:p w14:paraId="28535DFE" w14:textId="2053CCC4" w:rsidR="00C5764E" w:rsidRDefault="00362C47" w:rsidP="00C5764E">
      <w:pPr>
        <w:pStyle w:val="BodyText"/>
        <w:ind w:firstLine="0"/>
        <w:rPr>
          <w:b/>
          <w:bCs/>
          <w:i/>
          <w:iCs/>
        </w:rPr>
      </w:pPr>
      <w:r>
        <w:tab/>
      </w:r>
      <w:r w:rsidR="00705086" w:rsidRPr="00705086">
        <w:t xml:space="preserve">Precision medicine is described as “an innovative means of treating and preventing diseases that considers the individual genetic, environmental, and lifestyle differences in each individual patient” (NLM, 2022). Through precision medicine, healthcare providers and medical researchers will be able to determine who among individuals will respond positively to certain preventive and treatment measures regarding specific diseases. Precision medicine </w:t>
      </w:r>
      <w:r w:rsidR="00705086">
        <w:t xml:space="preserve">differs from the traditional approach, which relies on developing preventive and treatment measures for the general population rather than accounting for </w:t>
      </w:r>
      <w:r w:rsidR="00705086" w:rsidRPr="00705086">
        <w:t>differences among individuals (NLM, 2022).</w:t>
      </w:r>
    </w:p>
    <w:p w14:paraId="774C6E7F" w14:textId="77777777" w:rsidR="00C5764E" w:rsidRDefault="00C5764E" w:rsidP="00927849">
      <w:pPr>
        <w:pStyle w:val="APALevel2"/>
      </w:pPr>
      <w:r w:rsidRPr="001C68D1">
        <w:t>Deliver Targeted Interventions</w:t>
      </w:r>
    </w:p>
    <w:p w14:paraId="5D2FAFB6" w14:textId="69FFCDE8" w:rsidR="00DC3607" w:rsidRDefault="00D257CB" w:rsidP="00C5764E">
      <w:pPr>
        <w:pStyle w:val="BodyText"/>
        <w:ind w:firstLine="0"/>
      </w:pPr>
      <w:r>
        <w:rPr>
          <w:b/>
          <w:bCs/>
        </w:rPr>
        <w:tab/>
      </w:r>
      <w:r w:rsidR="00DC3607" w:rsidRPr="00DC3607">
        <w:t xml:space="preserve">This theme is representative of the integration of individual human-level necessity and systems-level necessity in the optimal facilitation of medication adherence. This </w:t>
      </w:r>
      <w:r w:rsidR="00DC3607" w:rsidRPr="00DC3607">
        <w:lastRenderedPageBreak/>
        <w:t>theme relates to technology integration and innovation and can facilitate cost reduction based on any increase in efficiency achieved in the process</w:t>
      </w:r>
      <w:r w:rsidR="00B35AA7">
        <w:t xml:space="preserve"> (Loots et al., 2021)</w:t>
      </w:r>
      <w:r w:rsidR="00DC3607" w:rsidRPr="00DC3607">
        <w:t>.</w:t>
      </w:r>
      <w:r w:rsidR="00C63D6C">
        <w:t xml:space="preserve"> </w:t>
      </w:r>
    </w:p>
    <w:p w14:paraId="4A37EE01" w14:textId="31F9F4C3" w:rsidR="00C5764E" w:rsidRDefault="00C5764E" w:rsidP="00C5764E">
      <w:pPr>
        <w:pStyle w:val="BodyText"/>
        <w:ind w:firstLine="0"/>
        <w:rPr>
          <w:b/>
          <w:bCs/>
          <w:i/>
          <w:iCs/>
        </w:rPr>
      </w:pPr>
      <w:r w:rsidRPr="001C68D1">
        <w:rPr>
          <w:b/>
          <w:bCs/>
          <w:i/>
          <w:iCs/>
        </w:rPr>
        <w:t>Provide Personalized Counseling</w:t>
      </w:r>
    </w:p>
    <w:p w14:paraId="11FB1BE8" w14:textId="158B3385" w:rsidR="00D257CB" w:rsidRPr="001C68D1" w:rsidRDefault="004839B0" w:rsidP="004839B0">
      <w:pPr>
        <w:pStyle w:val="BodyText"/>
        <w:rPr>
          <w:b/>
          <w:bCs/>
          <w:i/>
          <w:iCs/>
        </w:rPr>
      </w:pPr>
      <w:r w:rsidRPr="004839B0">
        <w:t>Th</w:t>
      </w:r>
      <w:r>
        <w:t>is</w:t>
      </w:r>
      <w:r w:rsidRPr="004839B0">
        <w:t xml:space="preserve"> sub-theme is personalized counseling. This is a form of intervention that is tailored to meet individual patient needs as opposed to generic intervention</w:t>
      </w:r>
      <w:r>
        <w:t>s</w:t>
      </w:r>
      <w:r w:rsidRPr="004839B0">
        <w:t>.</w:t>
      </w:r>
      <w:r>
        <w:t xml:space="preserve"> </w:t>
      </w:r>
      <w:r w:rsidRPr="004839B0">
        <w:t>This theme is related to cost reduction strategies and medical intervention in the sense that more effort and time put into tailoring counseling to meet individual patient needs can lead to cost reductions based on error reduction and communication</w:t>
      </w:r>
      <w:r w:rsidR="001E3606">
        <w:t xml:space="preserve"> (Loots et al., 2021)</w:t>
      </w:r>
      <w:r w:rsidRPr="004839B0">
        <w:rPr>
          <w:b/>
          <w:bCs/>
          <w:i/>
          <w:iCs/>
        </w:rPr>
        <w:t>.</w:t>
      </w:r>
    </w:p>
    <w:p w14:paraId="5EB27D8B" w14:textId="77777777" w:rsidR="00C5764E" w:rsidRDefault="00C5764E" w:rsidP="00C5764E">
      <w:pPr>
        <w:pStyle w:val="BodyText"/>
        <w:ind w:firstLine="0"/>
        <w:rPr>
          <w:b/>
          <w:bCs/>
          <w:i/>
          <w:iCs/>
        </w:rPr>
      </w:pPr>
      <w:r w:rsidRPr="001C68D1">
        <w:rPr>
          <w:b/>
          <w:bCs/>
          <w:i/>
          <w:iCs/>
        </w:rPr>
        <w:t>Address Cost and Access Barriers</w:t>
      </w:r>
    </w:p>
    <w:p w14:paraId="6AF487F5" w14:textId="25B3504E" w:rsidR="00A261AE" w:rsidRDefault="00A261AE" w:rsidP="00C5764E">
      <w:pPr>
        <w:pStyle w:val="BodyText"/>
        <w:ind w:firstLine="0"/>
        <w:rPr>
          <w:b/>
          <w:bCs/>
          <w:i/>
          <w:iCs/>
        </w:rPr>
      </w:pPr>
      <w:r>
        <w:rPr>
          <w:b/>
          <w:bCs/>
          <w:i/>
          <w:iCs/>
        </w:rPr>
        <w:tab/>
      </w:r>
      <w:r w:rsidRPr="00A261AE">
        <w:t>This theme is related to</w:t>
      </w:r>
      <w:r>
        <w:t xml:space="preserve"> GST’s</w:t>
      </w:r>
      <w:r w:rsidRPr="00A261AE">
        <w:t xml:space="preserve"> cost reduction strategies as well as medical interventions</w:t>
      </w:r>
      <w:r>
        <w:t>,</w:t>
      </w:r>
      <w:r w:rsidRPr="00A261AE">
        <w:t xml:space="preserve"> in that the extra time involved in personalizing counseling according to the needs of the patient can lead to cost reduction through reduced errors and effective communication. In addition, the discussion of cost-effective medication can also lead to cost reduction, as prior research indicated the effectiveness of personalized counseling on medication adherence (Loots et al., 2021</w:t>
      </w:r>
      <w:r w:rsidRPr="00A261AE">
        <w:rPr>
          <w:b/>
          <w:bCs/>
          <w:i/>
          <w:iCs/>
        </w:rPr>
        <w:t>)</w:t>
      </w:r>
      <w:r>
        <w:rPr>
          <w:b/>
          <w:bCs/>
          <w:i/>
          <w:iCs/>
        </w:rPr>
        <w:t xml:space="preserve">. </w:t>
      </w:r>
    </w:p>
    <w:p w14:paraId="00872DE5" w14:textId="77777777" w:rsidR="00C5764E" w:rsidRDefault="00C5764E" w:rsidP="00927849">
      <w:pPr>
        <w:pStyle w:val="APALevel2"/>
      </w:pPr>
      <w:r w:rsidRPr="001C68D1">
        <w:t>Strengthen Care Team Coordination</w:t>
      </w:r>
    </w:p>
    <w:p w14:paraId="55296058" w14:textId="7753572B" w:rsidR="00A261AE" w:rsidRDefault="00A261AE" w:rsidP="00C5764E">
      <w:pPr>
        <w:pStyle w:val="BodyText"/>
        <w:ind w:firstLine="0"/>
      </w:pPr>
      <w:r>
        <w:tab/>
      </w:r>
      <w:r w:rsidR="006366D5">
        <w:t xml:space="preserve">This subtheme relates to the GST </w:t>
      </w:r>
      <w:r w:rsidR="009669E1">
        <w:t xml:space="preserve">through </w:t>
      </w:r>
      <w:r w:rsidR="00022B6C">
        <w:t xml:space="preserve">the relevance of </w:t>
      </w:r>
      <w:r w:rsidR="000769CE">
        <w:t xml:space="preserve">the </w:t>
      </w:r>
      <w:r w:rsidR="00022B6C">
        <w:t>Integrated Innovation Technology theme</w:t>
      </w:r>
      <w:r w:rsidR="000769CE">
        <w:t>.</w:t>
      </w:r>
      <w:r w:rsidR="00022B6C">
        <w:t xml:space="preserve"> </w:t>
      </w:r>
      <w:r w:rsidR="000769CE">
        <w:t xml:space="preserve">Team coordination requires </w:t>
      </w:r>
      <w:r w:rsidR="009669E1">
        <w:t>multifaceted,</w:t>
      </w:r>
      <w:r w:rsidR="00440949">
        <w:t xml:space="preserve"> </w:t>
      </w:r>
      <w:r w:rsidR="009669E1">
        <w:t>patient-centered strategies, comprehensive</w:t>
      </w:r>
      <w:r w:rsidR="00440949">
        <w:t xml:space="preserve"> approaches, and</w:t>
      </w:r>
      <w:r w:rsidR="009669E1">
        <w:t xml:space="preserve"> targeted medical interventions.</w:t>
      </w:r>
      <w:r w:rsidR="005D4C48">
        <w:t xml:space="preserve"> </w:t>
      </w:r>
      <w:r w:rsidR="005D4C48" w:rsidRPr="005D4C48">
        <w:t xml:space="preserve">The best approach to integrating technology to support medication adherence was through a systematic approach, which enables an interdisciplinary team to function effectively. Support from a multidisciplinary team was also essential to effectively integrate </w:t>
      </w:r>
      <w:r w:rsidR="005D4C48" w:rsidRPr="005D4C48">
        <w:lastRenderedPageBreak/>
        <w:t>technology to facilitate medication adherence and reduce the adverse financial effects of integration (Alsyouf et al., 2023).</w:t>
      </w:r>
    </w:p>
    <w:p w14:paraId="68608A77" w14:textId="77777777" w:rsidR="00F3247C" w:rsidRPr="00A261AE" w:rsidRDefault="00F3247C" w:rsidP="00C5764E">
      <w:pPr>
        <w:pStyle w:val="BodyText"/>
        <w:ind w:firstLine="0"/>
      </w:pPr>
    </w:p>
    <w:p w14:paraId="5CF848FC" w14:textId="77777777" w:rsidR="00C5764E" w:rsidRDefault="00C5764E" w:rsidP="00C5764E">
      <w:pPr>
        <w:pStyle w:val="BodyText"/>
        <w:ind w:firstLine="0"/>
        <w:rPr>
          <w:b/>
          <w:bCs/>
          <w:i/>
          <w:iCs/>
        </w:rPr>
      </w:pPr>
      <w:r w:rsidRPr="001C68D1">
        <w:rPr>
          <w:b/>
          <w:bCs/>
          <w:i/>
          <w:iCs/>
        </w:rPr>
        <w:t>Establish Team-Based Workflows</w:t>
      </w:r>
    </w:p>
    <w:p w14:paraId="418C83ED" w14:textId="40DA7BE0" w:rsidR="00B74E83" w:rsidRDefault="004414EC" w:rsidP="00C5764E">
      <w:pPr>
        <w:pStyle w:val="BodyText"/>
        <w:ind w:firstLine="0"/>
      </w:pPr>
      <w:r>
        <w:rPr>
          <w:b/>
          <w:bCs/>
          <w:i/>
          <w:iCs/>
        </w:rPr>
        <w:tab/>
      </w:r>
      <w:r w:rsidR="00D741CA" w:rsidRPr="006379C6">
        <w:t xml:space="preserve">The theme of technology support aligns with </w:t>
      </w:r>
      <w:r w:rsidR="00D741CA">
        <w:t>the GST</w:t>
      </w:r>
      <w:r w:rsidR="00D741CA" w:rsidRPr="006379C6">
        <w:t>, which shows that interdisciplinary strategies are necessary to optimize all practical changes. Distributing responsibility among staff can potentially help reduce adoption and integration barriers (Bohlman et al., 2021; Zhang et al., 2022). Evidence located for the review also supported the use of team-based technological integration and implementation to help reduce fragmentation within a healthcare system (Zhang et al., 2022)</w:t>
      </w:r>
      <w:r w:rsidR="00CB6426">
        <w:t>.</w:t>
      </w:r>
    </w:p>
    <w:p w14:paraId="3C14DE7D" w14:textId="5634C593" w:rsidR="00C5764E" w:rsidRPr="00B74E83" w:rsidRDefault="00C5764E" w:rsidP="00C5764E">
      <w:pPr>
        <w:pStyle w:val="BodyText"/>
        <w:ind w:firstLine="0"/>
      </w:pPr>
      <w:r w:rsidRPr="001C68D1">
        <w:rPr>
          <w:b/>
          <w:bCs/>
          <w:i/>
          <w:iCs/>
        </w:rPr>
        <w:t>Integrate Pharmacists and Support Staff</w:t>
      </w:r>
    </w:p>
    <w:p w14:paraId="64864D74" w14:textId="03B3B20A" w:rsidR="00D257CB" w:rsidRPr="00D152EA" w:rsidRDefault="00C15748" w:rsidP="00C5764E">
      <w:pPr>
        <w:pStyle w:val="BodyText"/>
        <w:ind w:firstLine="0"/>
      </w:pPr>
      <w:r>
        <w:rPr>
          <w:b/>
          <w:bCs/>
          <w:i/>
          <w:iCs/>
        </w:rPr>
        <w:tab/>
      </w:r>
      <w:r w:rsidR="00D152EA" w:rsidRPr="00D152EA">
        <w:t xml:space="preserve">Team-based technology integration has been </w:t>
      </w:r>
      <w:r w:rsidR="00D152EA">
        <w:t>known</w:t>
      </w:r>
      <w:r w:rsidR="00D152EA" w:rsidRPr="00D152EA">
        <w:t xml:space="preserve"> to provide a stable and permanent change over time compared to isolated technology use by individual nurses (Cady, 2021). Therefore, technology integration aimed at improving medication adherence is best carried out by a systematic approach that facilitates the functioning of an interdisciplinary team. In addition, multidisciplinary support is essential in ensuring the integration of technology for medication adherence and mitigating the negative financial consequences of integration (Alsyouf et al., 2023).</w:t>
      </w:r>
    </w:p>
    <w:p w14:paraId="07A838C8" w14:textId="77777777" w:rsidR="00C5764E" w:rsidRPr="00F6155F" w:rsidRDefault="00C5764E" w:rsidP="00C5764E">
      <w:pPr>
        <w:pStyle w:val="BodyText"/>
        <w:ind w:firstLine="0"/>
        <w:rPr>
          <w:b/>
          <w:bCs/>
          <w:i/>
          <w:iCs/>
        </w:rPr>
      </w:pPr>
      <w:r w:rsidRPr="00F6155F">
        <w:rPr>
          <w:b/>
          <w:bCs/>
          <w:i/>
          <w:iCs/>
        </w:rPr>
        <w:t>Implement System-Level Strategies</w:t>
      </w:r>
    </w:p>
    <w:p w14:paraId="6D5D350C" w14:textId="2F996958" w:rsidR="00D152EA" w:rsidRPr="002C3047" w:rsidRDefault="002C3047" w:rsidP="004F291A">
      <w:pPr>
        <w:pStyle w:val="BodyText"/>
      </w:pPr>
      <w:r w:rsidRPr="006379C6">
        <w:t>Evidence of this theme</w:t>
      </w:r>
      <w:r>
        <w:t>, in relation to the GST</w:t>
      </w:r>
      <w:r w:rsidR="00964D08">
        <w:t xml:space="preserve">, </w:t>
      </w:r>
      <w:r w:rsidRPr="006379C6">
        <w:t xml:space="preserve">appeared in the works of Al-Arkee et al. (2021) and Gil-Guillen et al. (2022), who each found that EHR integration was associated with reduced medication errors and costs associated with monitoring adherence. In the current study, emphasis </w:t>
      </w:r>
      <w:r>
        <w:t>was</w:t>
      </w:r>
      <w:r w:rsidRPr="006379C6">
        <w:t xml:space="preserve"> on administrative cost reduction rather </w:t>
      </w:r>
      <w:r w:rsidRPr="006379C6">
        <w:lastRenderedPageBreak/>
        <w:t>than on EHR use alone, but this theme reveals how an optimally fiscally prudent organization prioritized a coordinated monitoring and recording system.</w:t>
      </w:r>
      <w:r w:rsidR="004827AC">
        <w:t xml:space="preserve"> This subtheme is also relevant to the theme, </w:t>
      </w:r>
      <w:r w:rsidR="004827AC" w:rsidRPr="006379C6">
        <w:t xml:space="preserve">Web-based management, </w:t>
      </w:r>
      <w:r w:rsidR="004F291A" w:rsidRPr="004F291A">
        <w:t xml:space="preserve">which focuses on using the Internet to facilitate connectivity and data management. This sub-theme is in line with strategies for reducing costs, as it further emphasizes the potential of technology in cutting costs, despite its associated costs, such as overcoming staff resistance or a learning curve. Web-based management of medication can help reduce the time spent by staff managing patients’ records, which can then be redirected to patient engagement activities. This </w:t>
      </w:r>
      <w:r w:rsidR="004F291A">
        <w:t>aligns</w:t>
      </w:r>
      <w:r w:rsidR="004F291A" w:rsidRPr="004F291A">
        <w:t xml:space="preserve"> with previous literature on how web-based management can help reduce errors and costs associated with nonadherence (Al-Arkee et al., 2021; Panahi, 2024).</w:t>
      </w:r>
    </w:p>
    <w:p w14:paraId="5B96FC30" w14:textId="77777777" w:rsidR="00C5764E" w:rsidRDefault="00C5764E" w:rsidP="00C5764E">
      <w:pPr>
        <w:pStyle w:val="BodyText"/>
        <w:ind w:firstLine="0"/>
        <w:rPr>
          <w:b/>
          <w:bCs/>
          <w:i/>
          <w:iCs/>
        </w:rPr>
      </w:pPr>
      <w:r w:rsidRPr="001C68D1">
        <w:rPr>
          <w:b/>
          <w:bCs/>
          <w:i/>
          <w:iCs/>
        </w:rPr>
        <w:t>Combine Technology and Behavioral Approaches</w:t>
      </w:r>
    </w:p>
    <w:p w14:paraId="66B39108" w14:textId="66A25BA6" w:rsidR="004F291A" w:rsidRPr="00027A16" w:rsidRDefault="004F291A" w:rsidP="00C5764E">
      <w:pPr>
        <w:pStyle w:val="BodyText"/>
        <w:ind w:firstLine="0"/>
      </w:pPr>
      <w:r>
        <w:rPr>
          <w:b/>
          <w:bCs/>
          <w:i/>
          <w:iCs/>
        </w:rPr>
        <w:tab/>
      </w:r>
      <w:r w:rsidR="00027A16" w:rsidRPr="00027A16">
        <w:t xml:space="preserve">This theme involves </w:t>
      </w:r>
      <w:r w:rsidR="00027A16">
        <w:t xml:space="preserve">the concepts of the GST through </w:t>
      </w:r>
      <w:r w:rsidR="00027A16" w:rsidRPr="00027A16">
        <w:t>comprehensive and holistic approaches that include all the key performance indicators and components of intervention that will lead to maximum adherence and minimal costs.</w:t>
      </w:r>
      <w:r w:rsidR="002827EB">
        <w:t xml:space="preserve"> </w:t>
      </w:r>
      <w:r w:rsidR="00005E09">
        <w:t>M</w:t>
      </w:r>
      <w:r w:rsidR="002827EB">
        <w:t>ultifaceted</w:t>
      </w:r>
      <w:r w:rsidR="00F90131">
        <w:t>, patient-centered strategies and interventions with multiple components are more effective</w:t>
      </w:r>
      <w:r w:rsidR="002827EB">
        <w:t xml:space="preserve"> than a single intervention for promoting medication adherence, even </w:t>
      </w:r>
      <w:r w:rsidR="00CA2F37">
        <w:t>when</w:t>
      </w:r>
      <w:r w:rsidR="00027A16" w:rsidRPr="00027A16">
        <w:t xml:space="preserve"> evidence-based (Smuck et al., 2021)</w:t>
      </w:r>
      <w:r w:rsidR="002827EB">
        <w:t xml:space="preserve">. </w:t>
      </w:r>
      <w:r w:rsidR="00603ABE" w:rsidRPr="006379C6">
        <w:t>A coordinated EHR system enables advanced monitoring and timely updates based on changes to prescriptions or adjustments in clinical workflow. This sub-theme also connects to targeted medical interventions because of the potential for EHR systems to facilitate more accurate patient monitoring. Evidence of this theme appeared in the works of Al-Arkee et al. (2021) and Gil-Guillen et al. (2022), who each found that EHR integration was associated with reduced medication errors and costs associated with monitoring adherence.</w:t>
      </w:r>
    </w:p>
    <w:p w14:paraId="4A55ABBB" w14:textId="77777777" w:rsidR="00C5764E" w:rsidRDefault="00C5764E" w:rsidP="00C5764E">
      <w:pPr>
        <w:pStyle w:val="BodyText"/>
        <w:ind w:firstLine="0"/>
        <w:rPr>
          <w:b/>
          <w:bCs/>
          <w:i/>
          <w:iCs/>
        </w:rPr>
      </w:pPr>
      <w:r w:rsidRPr="001C68D1">
        <w:rPr>
          <w:b/>
          <w:bCs/>
          <w:i/>
          <w:iCs/>
        </w:rPr>
        <w:lastRenderedPageBreak/>
        <w:t>Evaluate and Refine Adherence Programs</w:t>
      </w:r>
    </w:p>
    <w:p w14:paraId="3AE3340A" w14:textId="5210D8C9" w:rsidR="00950912" w:rsidRDefault="002C1138" w:rsidP="00CA2F37">
      <w:pPr>
        <w:pStyle w:val="BodyText"/>
      </w:pPr>
      <w:r w:rsidRPr="00950912">
        <w:t>In this subtheme, there is relevance to the GST</w:t>
      </w:r>
      <w:r w:rsidR="00950912" w:rsidRPr="00950912">
        <w:t xml:space="preserve"> in </w:t>
      </w:r>
      <w:r w:rsidR="00950912" w:rsidRPr="008F5B5A">
        <w:t>this group of themes</w:t>
      </w:r>
      <w:r w:rsidR="00950912">
        <w:t>, which consists of a multi-team strategy approach that involves</w:t>
      </w:r>
      <w:r w:rsidR="00950912" w:rsidRPr="008F5B5A">
        <w:t xml:space="preserve"> all interdisciplinary team members in coordinating medication management. This sub-theme parallels comprehensive strategies and team strategies, emphasizing the necessity for systemic coordination facilitated by team communication</w:t>
      </w:r>
      <w:r w:rsidR="00CA2F37">
        <w:t xml:space="preserve">. </w:t>
      </w:r>
      <w:r w:rsidR="009E13EE" w:rsidRPr="009E13EE">
        <w:t>The factors of successful intervention, which relate to interventions that include all the strategies necessary to meet patient needs, include cost reduction, technology, and specific medical interventions, all of which relate to this sub-theme. The current study makes a unique scientific contribution to understanding their necessity. In terms of the efficacy of single interventions compared to multiple interventions, single interventions tend to be less effective, as shown in the literature (Cabrera &amp; Cabrera, 2023).</w:t>
      </w:r>
      <w:r w:rsidR="00950912" w:rsidRPr="008F5B5A">
        <w:t xml:space="preserve"> </w:t>
      </w:r>
    </w:p>
    <w:p w14:paraId="533E3892" w14:textId="3950390D" w:rsidR="00F90131" w:rsidRDefault="00F90131" w:rsidP="00950912">
      <w:pPr>
        <w:pStyle w:val="BodyText"/>
        <w:ind w:firstLine="0"/>
        <w:rPr>
          <w:b/>
          <w:bCs/>
          <w:i/>
          <w:iCs/>
        </w:rPr>
      </w:pPr>
    </w:p>
    <w:p w14:paraId="42A0F46D" w14:textId="33CDC5F3" w:rsidR="00603ABE" w:rsidRPr="001C68D1" w:rsidRDefault="00603ABE" w:rsidP="00C5764E">
      <w:pPr>
        <w:pStyle w:val="BodyText"/>
        <w:ind w:firstLine="0"/>
        <w:rPr>
          <w:b/>
          <w:bCs/>
          <w:i/>
          <w:iCs/>
        </w:rPr>
      </w:pPr>
      <w:r>
        <w:rPr>
          <w:b/>
          <w:bCs/>
          <w:i/>
          <w:iCs/>
        </w:rPr>
        <w:tab/>
      </w:r>
    </w:p>
    <w:p w14:paraId="28366D08" w14:textId="77777777" w:rsidR="006724E8" w:rsidRDefault="006724E8">
      <w:pPr>
        <w:autoSpaceDE/>
        <w:autoSpaceDN/>
        <w:adjustRightInd/>
        <w:snapToGrid/>
      </w:pPr>
      <w:r>
        <w:br w:type="page"/>
      </w:r>
    </w:p>
    <w:p w14:paraId="5E108A3B" w14:textId="7F5613DB" w:rsidR="008A45A4" w:rsidRDefault="00042E1B" w:rsidP="00CF2D19">
      <w:pPr>
        <w:pStyle w:val="APALevel0"/>
      </w:pPr>
      <w:bookmarkStart w:id="9" w:name="_Toc130372401"/>
      <w:r w:rsidRPr="00CF2D19">
        <w:lastRenderedPageBreak/>
        <w:t xml:space="preserve">Part 4: </w:t>
      </w:r>
      <w:r w:rsidR="00733C9B" w:rsidRPr="00CF2D19">
        <w:t>Recommendation for Professional Practice</w:t>
      </w:r>
      <w:bookmarkEnd w:id="9"/>
      <w:r w:rsidRPr="00CF2D19">
        <w:t xml:space="preserve"> and Implications for Social Change</w:t>
      </w:r>
    </w:p>
    <w:p w14:paraId="7A102E54" w14:textId="7A1592A1" w:rsidR="00CF2D19" w:rsidRPr="00CF2D19" w:rsidRDefault="00CF2D19" w:rsidP="00CF2D19">
      <w:pPr>
        <w:pStyle w:val="BodyText"/>
      </w:pPr>
      <w:r w:rsidRPr="008F5B5A">
        <w:t xml:space="preserve">A range of recommendations for professional practice </w:t>
      </w:r>
      <w:r w:rsidR="00BA7621">
        <w:t>is</w:t>
      </w:r>
      <w:r w:rsidR="00BA7621" w:rsidRPr="008F5B5A">
        <w:t xml:space="preserve"> </w:t>
      </w:r>
      <w:r w:rsidRPr="008F5B5A">
        <w:t xml:space="preserve">discussed in this section. These practical recommendations, if implemented, would have numerous implications for </w:t>
      </w:r>
      <w:r w:rsidR="00DE2F1C">
        <w:t xml:space="preserve">positive </w:t>
      </w:r>
      <w:r w:rsidRPr="008F5B5A">
        <w:t xml:space="preserve">social change in the context in which they are applied, the most notable of which are discussed in the following section. Despite the promise of the study’s findings, there are some limitations that detract from their generalizability, which are cautioned by the reader. Conclusions are then drawn, and the dissertation </w:t>
      </w:r>
      <w:r w:rsidR="00B96D08">
        <w:t>is</w:t>
      </w:r>
      <w:r w:rsidRPr="008F5B5A">
        <w:t xml:space="preserve"> ended.</w:t>
      </w:r>
    </w:p>
    <w:p w14:paraId="7AC8A442" w14:textId="3FC86582" w:rsidR="00042E1B" w:rsidRPr="00CF2D19" w:rsidRDefault="00042E1B" w:rsidP="00CF2D19">
      <w:pPr>
        <w:pStyle w:val="APALevel1"/>
      </w:pPr>
      <w:r w:rsidRPr="00CF2D19">
        <w:t>Recommendations for Professional Practice</w:t>
      </w:r>
    </w:p>
    <w:p w14:paraId="4B71624D" w14:textId="50EDDFB4" w:rsidR="00BA7621" w:rsidRDefault="00BA7621" w:rsidP="00BA7621">
      <w:pPr>
        <w:pStyle w:val="BodyText"/>
      </w:pPr>
      <w:r>
        <w:t xml:space="preserve">Using the emerged themes and subthemes, three recommendations for professional practice were developed. </w:t>
      </w:r>
      <w:r w:rsidR="00FC25F1">
        <w:t>The first recommendation is to i</w:t>
      </w:r>
      <w:r w:rsidRPr="00BA7621">
        <w:t>mplement an integrated, technology-enabled medication adherence program that combines EHR monitoring and predictive risk identification</w:t>
      </w:r>
      <w:r>
        <w:t xml:space="preserve">. </w:t>
      </w:r>
      <w:r w:rsidR="00FC25F1">
        <w:t xml:space="preserve">Secondly, I advise </w:t>
      </w:r>
      <w:r w:rsidR="00C9441D">
        <w:t xml:space="preserve">the delivery of </w:t>
      </w:r>
      <w:r w:rsidRPr="00BA7621">
        <w:t>targeted, patient-specific adherence interventions that address individual barriers such as cost, access, and understanding of medications.</w:t>
      </w:r>
      <w:r>
        <w:t xml:space="preserve"> </w:t>
      </w:r>
      <w:r w:rsidR="00C9441D">
        <w:t>Finally, this study recommends the e</w:t>
      </w:r>
      <w:r w:rsidRPr="00BA7621">
        <w:t>stablish</w:t>
      </w:r>
      <w:r w:rsidR="00C9441D">
        <w:t>ment of</w:t>
      </w:r>
      <w:r w:rsidRPr="00BA7621">
        <w:t xml:space="preserve"> a coordinated, system-level adherence strategy that integrates interdisciplinary care teams, technology, and continuous performance evaluation</w:t>
      </w:r>
      <w:r w:rsidR="000953B0">
        <w:t xml:space="preserve"> (</w:t>
      </w:r>
      <w:r w:rsidR="00C9441D">
        <w:t xml:space="preserve">see </w:t>
      </w:r>
      <w:r w:rsidR="001F4B09">
        <w:t>Z</w:t>
      </w:r>
      <w:r w:rsidR="000953B0">
        <w:t>ullig</w:t>
      </w:r>
      <w:r w:rsidR="001F4B09">
        <w:t xml:space="preserve"> et al</w:t>
      </w:r>
      <w:r w:rsidRPr="00BA7621">
        <w:t>.</w:t>
      </w:r>
      <w:r w:rsidR="001F4B09">
        <w:t>, 2019)</w:t>
      </w:r>
      <w:r w:rsidR="00C9441D">
        <w:t>.</w:t>
      </w:r>
    </w:p>
    <w:p w14:paraId="114CC2F7" w14:textId="2163CA92" w:rsidR="00BA7621" w:rsidRDefault="00362DFA" w:rsidP="00362DFA">
      <w:pPr>
        <w:pStyle w:val="BodyText"/>
        <w:ind w:firstLine="0"/>
      </w:pPr>
      <w:r>
        <w:tab/>
      </w:r>
      <w:r w:rsidRPr="00AB2109">
        <w:t xml:space="preserve">The </w:t>
      </w:r>
      <w:r w:rsidRPr="005177AB">
        <w:t>first recommendation</w:t>
      </w:r>
      <w:r>
        <w:t xml:space="preserve"> is to i</w:t>
      </w:r>
      <w:r w:rsidRPr="00BA7621">
        <w:t>mplement an integrated, technology-enabled medication adherence program that combines EHR monitoring and predictive risk identification</w:t>
      </w:r>
      <w:r>
        <w:t xml:space="preserve">. </w:t>
      </w:r>
      <w:r w:rsidRPr="00362DFA">
        <w:t xml:space="preserve">The findings of this integrative review support technology integration as a primary administrative strategy to improve medication adherence and reduce operational inefficiencies (Bohlmann et al., 2021; Zhang et al., 2022). EHR-based monitoring systems enable real-time visibility into patient adherence patterns and enhance </w:t>
      </w:r>
      <w:r w:rsidRPr="00362DFA">
        <w:lastRenderedPageBreak/>
        <w:t xml:space="preserve">coordination across providers, contributing to improved workflow efficiency and reduced medication-related errors (Al-Arkee et al., 2021; Gil-Guillen et al., 2022). In addition, predictive tools allow healthcare organizations to proactively identify high-risk patients and allocate resources more effectively through </w:t>
      </w:r>
      <w:r w:rsidR="001047C2">
        <w:t>targeted</w:t>
      </w:r>
      <w:r w:rsidRPr="00362DFA">
        <w:t xml:space="preserve"> interventions (Babel et al., 2021; Emami et al., 2023). Consistent with </w:t>
      </w:r>
      <w:r>
        <w:t>GST</w:t>
      </w:r>
      <w:r w:rsidRPr="00362DFA">
        <w:t>, this recommendation reflects the integration of interconnected system components that support continuous feedback, strengthen information exchange, and enable adaptive, data-driven decision-making across the organization (Bertalanffy, 1969; Issitt, 2024).</w:t>
      </w:r>
    </w:p>
    <w:p w14:paraId="255BD232" w14:textId="2A6AEE05" w:rsidR="002F5ADF" w:rsidRDefault="00362DFA" w:rsidP="002F5ADF">
      <w:pPr>
        <w:pStyle w:val="BodyText"/>
        <w:ind w:firstLine="0"/>
      </w:pPr>
      <w:r>
        <w:tab/>
      </w:r>
      <w:r w:rsidRPr="00AB2109">
        <w:t xml:space="preserve">The </w:t>
      </w:r>
      <w:r w:rsidRPr="005177AB">
        <w:t>second recommendation</w:t>
      </w:r>
      <w:r>
        <w:t xml:space="preserve"> is </w:t>
      </w:r>
      <w:r w:rsidR="00B265FC">
        <w:t>d</w:t>
      </w:r>
      <w:r w:rsidR="00B265FC" w:rsidRPr="00362DFA">
        <w:t>elivering</w:t>
      </w:r>
      <w:r w:rsidRPr="00362DFA">
        <w:t xml:space="preserve"> targeted, patient-specific adherence interventions that address individual barriers such as cost, access, and understanding of medications.</w:t>
      </w:r>
      <w:r>
        <w:t xml:space="preserve"> </w:t>
      </w:r>
      <w:r w:rsidR="002C3B19" w:rsidRPr="008F5B5A">
        <w:t>The</w:t>
      </w:r>
      <w:r w:rsidR="002C3B19" w:rsidRPr="00647DBD">
        <w:t xml:space="preserve"> subtheme</w:t>
      </w:r>
      <w:r w:rsidR="002C3B19">
        <w:rPr>
          <w:b/>
          <w:bCs/>
        </w:rPr>
        <w:t xml:space="preserve"> </w:t>
      </w:r>
      <w:r w:rsidR="002C3B19">
        <w:t xml:space="preserve">within this group relates to </w:t>
      </w:r>
      <w:r w:rsidR="002C3B19" w:rsidRPr="002C6E9D">
        <w:rPr>
          <w:i/>
          <w:iCs/>
        </w:rPr>
        <w:t>comprehensive strategies</w:t>
      </w:r>
      <w:r w:rsidR="002C3B19">
        <w:t>, which pertain to those that are tailored to patient needs and incorporate various approaches to</w:t>
      </w:r>
      <w:r w:rsidR="002C3B19" w:rsidRPr="008F5B5A">
        <w:t xml:space="preserve"> address each of these needs. This theme aligns with previous literature, which demonstrates that patient individualization and comprehensive intervention are each necessary for optimal medication management (Busch et al., 2022; Zhang et al., 2022). </w:t>
      </w:r>
      <w:r w:rsidR="00647DBD">
        <w:tab/>
      </w:r>
      <w:r>
        <w:tab/>
      </w:r>
      <w:r w:rsidRPr="00AB2109">
        <w:t xml:space="preserve">The </w:t>
      </w:r>
      <w:r w:rsidRPr="005177AB">
        <w:t>third recommendation</w:t>
      </w:r>
      <w:r>
        <w:t xml:space="preserve"> is </w:t>
      </w:r>
      <w:r w:rsidR="00B265FC">
        <w:t>to establish</w:t>
      </w:r>
      <w:r w:rsidRPr="00362DFA">
        <w:t xml:space="preserve"> a coordinated, system-level adherence strategy that integrates interdisciplinary care teams, technology, and continuous performance evaluation</w:t>
      </w:r>
      <w:r>
        <w:t>.</w:t>
      </w:r>
      <w:r w:rsidR="00611F26">
        <w:t xml:space="preserve"> </w:t>
      </w:r>
      <w:r w:rsidR="00611F26" w:rsidRPr="00611F26">
        <w:t xml:space="preserve">Interdisciplinary </w:t>
      </w:r>
      <w:r w:rsidR="00DB41E6">
        <w:t>t</w:t>
      </w:r>
      <w:r w:rsidR="00611F26" w:rsidRPr="00611F26">
        <w:t>eam-</w:t>
      </w:r>
      <w:r w:rsidR="00DB41E6">
        <w:t>b</w:t>
      </w:r>
      <w:r w:rsidR="00611F26" w:rsidRPr="00611F26">
        <w:t xml:space="preserve">ased </w:t>
      </w:r>
      <w:r w:rsidR="00DB41E6">
        <w:t>c</w:t>
      </w:r>
      <w:r w:rsidR="00611F26" w:rsidRPr="00611F26">
        <w:t>are is a “dynamic and collaborative approach to delivering care in a health setting in which professionals from various disciplines come together as a team to meet the complex health needs of patients</w:t>
      </w:r>
      <w:r w:rsidR="00705086">
        <w:t>”</w:t>
      </w:r>
      <w:r w:rsidR="00DB41E6">
        <w:t xml:space="preserve"> </w:t>
      </w:r>
      <w:r w:rsidR="00516174">
        <w:t>(Kongkar, 2025</w:t>
      </w:r>
      <w:r w:rsidR="00173BE3">
        <w:t xml:space="preserve">. </w:t>
      </w:r>
      <w:r w:rsidR="00F23BEB">
        <w:t>P</w:t>
      </w:r>
      <w:r w:rsidR="00F23BEB" w:rsidRPr="00F23BEB">
        <w:t>ages 445—457</w:t>
      </w:r>
      <w:r w:rsidR="00516174">
        <w:t>)</w:t>
      </w:r>
      <w:r w:rsidR="00611F26" w:rsidRPr="00611F26">
        <w:t>.</w:t>
      </w:r>
      <w:r w:rsidR="00C250CB">
        <w:t xml:space="preserve"> </w:t>
      </w:r>
      <w:r w:rsidR="00DB41E6" w:rsidRPr="00611F26">
        <w:t xml:space="preserve">Interdisciplinary </w:t>
      </w:r>
      <w:r w:rsidR="00DB41E6">
        <w:t>t</w:t>
      </w:r>
      <w:r w:rsidR="00DB41E6" w:rsidRPr="00611F26">
        <w:t>eam-</w:t>
      </w:r>
      <w:r w:rsidR="00DB41E6">
        <w:t>b</w:t>
      </w:r>
      <w:r w:rsidR="00DB41E6" w:rsidRPr="00611F26">
        <w:t xml:space="preserve">ased </w:t>
      </w:r>
      <w:r w:rsidR="00DB41E6">
        <w:t>c</w:t>
      </w:r>
      <w:r w:rsidR="00DB41E6" w:rsidRPr="00611F26">
        <w:t xml:space="preserve">are </w:t>
      </w:r>
      <w:r w:rsidR="0045288A">
        <w:t>relate</w:t>
      </w:r>
      <w:r w:rsidR="00DB4E45">
        <w:t>s</w:t>
      </w:r>
      <w:r w:rsidR="0045288A">
        <w:t xml:space="preserve"> to a </w:t>
      </w:r>
      <w:r w:rsidR="00237E37">
        <w:t xml:space="preserve">comprehensive strategy because there is </w:t>
      </w:r>
      <w:r w:rsidR="00DB4E45">
        <w:t>clear evidence that integrating the necessary</w:t>
      </w:r>
      <w:r w:rsidR="00846E84">
        <w:t xml:space="preserve"> </w:t>
      </w:r>
      <w:r w:rsidR="00237E37">
        <w:t xml:space="preserve">strategies will yield </w:t>
      </w:r>
      <w:r w:rsidR="00846E84">
        <w:t xml:space="preserve">better results through a multi-team </w:t>
      </w:r>
      <w:r w:rsidR="00DB4E45">
        <w:t xml:space="preserve">strategic </w:t>
      </w:r>
      <w:r w:rsidR="00237E37">
        <w:t>approach</w:t>
      </w:r>
      <w:r w:rsidR="00631F8D">
        <w:t xml:space="preserve"> </w:t>
      </w:r>
      <w:r w:rsidR="00631F8D" w:rsidRPr="008F5B5A">
        <w:t xml:space="preserve">(Busch et al., </w:t>
      </w:r>
      <w:r w:rsidR="00631F8D" w:rsidRPr="008F5B5A">
        <w:lastRenderedPageBreak/>
        <w:t>2022; Zhang et al., 2022).</w:t>
      </w:r>
      <w:r w:rsidR="00631F8D">
        <w:t xml:space="preserve"> </w:t>
      </w:r>
      <w:r w:rsidR="00611F26" w:rsidRPr="00611F26">
        <w:t>By taking a holistic approach, a team of professionals including doctors, nurses, social workers, and therapists can pool their expertise in delivering quality care to patients. A collaborative approach is likely to bring about greater coordination and harmony in delivering quality care to patients</w:t>
      </w:r>
      <w:r w:rsidR="00C76DB1">
        <w:t xml:space="preserve"> (</w:t>
      </w:r>
      <w:r w:rsidR="00A45B35">
        <w:t>Kongkar</w:t>
      </w:r>
      <w:r w:rsidR="00C76DB1">
        <w:t>, 2025)</w:t>
      </w:r>
      <w:r w:rsidR="00611F26">
        <w:t>.</w:t>
      </w:r>
      <w:r>
        <w:t xml:space="preserve"> </w:t>
      </w:r>
      <w:bookmarkStart w:id="10" w:name="_Toc130372402"/>
    </w:p>
    <w:p w14:paraId="0CC4064C" w14:textId="220E9AF8" w:rsidR="00AE36B4" w:rsidRPr="002F5ADF" w:rsidRDefault="00942AC1" w:rsidP="00927849">
      <w:pPr>
        <w:pStyle w:val="APALevel1"/>
      </w:pPr>
      <w:r w:rsidRPr="002F5ADF">
        <w:t>Implications for Social Change</w:t>
      </w:r>
      <w:bookmarkEnd w:id="10"/>
    </w:p>
    <w:p w14:paraId="38237B05" w14:textId="17A3675C" w:rsidR="00195DF6" w:rsidRDefault="00CF2D19" w:rsidP="00927849">
      <w:pPr>
        <w:pStyle w:val="BodyText"/>
      </w:pPr>
      <w:r w:rsidRPr="008F5B5A">
        <w:t xml:space="preserve">These findings reinforce the need for a systemic focus that </w:t>
      </w:r>
      <w:r w:rsidR="005D74CE">
        <w:t>wa</w:t>
      </w:r>
      <w:r w:rsidRPr="008F5B5A">
        <w:t xml:space="preserve">s multidimensional and not singular in nature, as has been used commonly in prior research (Corral-Partearroyo et al., 2022; Schnipper et al., 2021; Yoon et al., 2023). Additionally, these findings reflect how the problem of medication nonadherence disproportionately affects different demographic groups and creates sociodemographic inequity that requires resolution. </w:t>
      </w:r>
      <w:r w:rsidR="009B244D">
        <w:t xml:space="preserve">The social determinants of health are </w:t>
      </w:r>
      <w:r w:rsidR="00DA7E64">
        <w:t>conditions</w:t>
      </w:r>
      <w:r w:rsidR="009B244D">
        <w:t xml:space="preserve"> in which people are born, live, learn, work, play, worship, and age that affect a wide range of health, functioning, and quality of life outcomes and risks</w:t>
      </w:r>
      <w:r w:rsidR="00C93C6B">
        <w:t>. The s</w:t>
      </w:r>
      <w:r w:rsidR="009B244D">
        <w:t xml:space="preserve">ocial determinants of health are categorized into </w:t>
      </w:r>
      <w:r w:rsidR="00A30906">
        <w:t>five</w:t>
      </w:r>
      <w:r w:rsidR="009B244D">
        <w:t xml:space="preserve"> domains: </w:t>
      </w:r>
      <w:r w:rsidR="00A30906">
        <w:t>e</w:t>
      </w:r>
      <w:r w:rsidR="004542BB">
        <w:t xml:space="preserve">conomic </w:t>
      </w:r>
      <w:r w:rsidR="00A30906">
        <w:t>s</w:t>
      </w:r>
      <w:r w:rsidR="004542BB">
        <w:t>tability</w:t>
      </w:r>
      <w:r w:rsidR="00A30906">
        <w:t>, e</w:t>
      </w:r>
      <w:r w:rsidR="00195DF6">
        <w:t xml:space="preserve">ducation </w:t>
      </w:r>
      <w:r w:rsidR="00A30906">
        <w:t>a</w:t>
      </w:r>
      <w:r w:rsidR="00195DF6">
        <w:t xml:space="preserve">ccess </w:t>
      </w:r>
      <w:r w:rsidR="00A30906">
        <w:t>and</w:t>
      </w:r>
      <w:r w:rsidR="00195DF6">
        <w:t xml:space="preserve"> </w:t>
      </w:r>
      <w:r w:rsidR="00A30906">
        <w:t>q</w:t>
      </w:r>
      <w:r w:rsidR="00195DF6">
        <w:t>uality</w:t>
      </w:r>
      <w:r w:rsidR="00A30906">
        <w:t>, h</w:t>
      </w:r>
      <w:r w:rsidR="00195DF6">
        <w:t xml:space="preserve">ealthcare </w:t>
      </w:r>
      <w:r w:rsidR="00A30906">
        <w:t>a</w:t>
      </w:r>
      <w:r w:rsidR="00195DF6">
        <w:t xml:space="preserve">ccess </w:t>
      </w:r>
      <w:r w:rsidR="00A30906">
        <w:t>and</w:t>
      </w:r>
      <w:r w:rsidR="00195DF6">
        <w:t xml:space="preserve"> </w:t>
      </w:r>
      <w:r w:rsidR="00A30906">
        <w:t>q</w:t>
      </w:r>
      <w:r w:rsidR="00195DF6">
        <w:t>uality</w:t>
      </w:r>
      <w:r w:rsidR="00A30906">
        <w:t>, n</w:t>
      </w:r>
      <w:r w:rsidR="00195DF6">
        <w:t xml:space="preserve">eighborhood </w:t>
      </w:r>
      <w:r w:rsidR="00A30906">
        <w:t>and b</w:t>
      </w:r>
      <w:r w:rsidR="00195DF6">
        <w:t xml:space="preserve">uilt </w:t>
      </w:r>
      <w:r w:rsidR="00A30906">
        <w:t>e</w:t>
      </w:r>
      <w:r w:rsidR="00195DF6">
        <w:t>nvironment</w:t>
      </w:r>
      <w:r w:rsidR="00A30906">
        <w:t>, and s</w:t>
      </w:r>
      <w:r w:rsidR="00195DF6">
        <w:t xml:space="preserve">ocial </w:t>
      </w:r>
      <w:r w:rsidR="00A30906">
        <w:t>and</w:t>
      </w:r>
      <w:r w:rsidR="00195DF6">
        <w:t xml:space="preserve"> </w:t>
      </w:r>
      <w:r w:rsidR="00A30906">
        <w:t>c</w:t>
      </w:r>
      <w:r w:rsidR="00195DF6">
        <w:t xml:space="preserve">ommunity </w:t>
      </w:r>
      <w:r w:rsidR="00A30906">
        <w:t>c</w:t>
      </w:r>
      <w:r w:rsidR="00195DF6">
        <w:t>ontext</w:t>
      </w:r>
      <w:r w:rsidR="00A30906">
        <w:t>.</w:t>
      </w:r>
    </w:p>
    <w:p w14:paraId="0C2F6EF5" w14:textId="5C2AA41D" w:rsidR="001D5980" w:rsidRDefault="00772974" w:rsidP="006F3470">
      <w:pPr>
        <w:pStyle w:val="BodyText"/>
      </w:pPr>
      <w:r>
        <w:t xml:space="preserve">The social determinants </w:t>
      </w:r>
      <w:r w:rsidR="001D5980">
        <w:t xml:space="preserve">of health significantly impact </w:t>
      </w:r>
      <w:r>
        <w:t>people</w:t>
      </w:r>
      <w:r w:rsidR="00E12806">
        <w:t>’</w:t>
      </w:r>
      <w:r>
        <w:t>s lives and well-being.</w:t>
      </w:r>
      <w:r w:rsidR="006F3470">
        <w:t xml:space="preserve"> Across all income groups, health and illness follow a social gradient, with those in lower socioeconomic circumstances having poorer health. People who lack access to quality living conditions, education, social security, and work opportunities are at greater risk of illness and death. Studies have found that the social determinants can play an even greater role than genetics or access to healthcare in the health equation</w:t>
      </w:r>
      <w:r w:rsidR="00A1365B">
        <w:t xml:space="preserve"> (WHO, 2026).</w:t>
      </w:r>
      <w:r w:rsidR="008F2EA9">
        <w:t xml:space="preserve"> </w:t>
      </w:r>
      <w:r w:rsidR="006F3470">
        <w:t xml:space="preserve">Improving the social determinants of health equity is the basis for tackling health inequalities and improving health. This requires the efforts of all sectors of government, </w:t>
      </w:r>
      <w:r w:rsidR="006F3470">
        <w:lastRenderedPageBreak/>
        <w:t>the private sector, and civil society. WHO is committed to helping countries develop and implement the main policy areas on the social determinants of health to address health inequities</w:t>
      </w:r>
      <w:r w:rsidR="006F116D">
        <w:t xml:space="preserve"> (WHO, 2026)</w:t>
      </w:r>
      <w:r w:rsidR="006F3470">
        <w:t>.</w:t>
      </w:r>
      <w:r>
        <w:t xml:space="preserve"> </w:t>
      </w:r>
    </w:p>
    <w:p w14:paraId="47305626" w14:textId="051AE30F" w:rsidR="00042E1B" w:rsidRDefault="00042E1B" w:rsidP="00E12806">
      <w:pPr>
        <w:pStyle w:val="APALevel1"/>
      </w:pPr>
      <w:bookmarkStart w:id="11" w:name="_Toc130372403"/>
      <w:r w:rsidRPr="00E12806">
        <w:t>Limitations</w:t>
      </w:r>
    </w:p>
    <w:p w14:paraId="5F0708BC" w14:textId="6550EB06" w:rsidR="00042E1B" w:rsidRPr="00042E1B" w:rsidRDefault="00CF2D19" w:rsidP="00042E1B">
      <w:pPr>
        <w:pStyle w:val="BodyText"/>
      </w:pPr>
      <w:r w:rsidRPr="008F5B5A">
        <w:t>While the findings from this study are believed to be of high scholarly and practical importance, certain limitations inherent in the design warrant discussion. First, this study consisted of an integrative review, and no primary data were collected. Therefore, no effort could be made to mitigate any biases that might have been present in the prior research used to address the research questions. Additionally, because the data used to respond to the research questions in this study rely on the rigor of the prior data collections, the findings may not be generalizable beyond the individual contexts in which they occurred. Nevertheless, fully transparent reporting and a systemic quality analysis contributed to the trustworthiness of the findings. Additionally, the incorporation of only peer-reviewed, empirical evidence from reputable sources helped strengthen the credibility of these findings.</w:t>
      </w:r>
    </w:p>
    <w:p w14:paraId="7A3F1998" w14:textId="31AFFAAC" w:rsidR="00802B13" w:rsidRDefault="00802B13" w:rsidP="00002C36">
      <w:pPr>
        <w:pStyle w:val="APALevel1"/>
      </w:pPr>
      <w:r w:rsidRPr="00002C36">
        <w:t>Conclusion</w:t>
      </w:r>
      <w:bookmarkEnd w:id="11"/>
    </w:p>
    <w:p w14:paraId="04595C5B" w14:textId="0A272B42" w:rsidR="00CF2D19" w:rsidRPr="008F5B5A" w:rsidRDefault="00CF2D19" w:rsidP="00CF2D19">
      <w:pPr>
        <w:pStyle w:val="BodyText"/>
      </w:pPr>
      <w:r w:rsidRPr="008F5B5A">
        <w:t xml:space="preserve">The purpose of this study was to identify cost-reduction strategies for medication nonadherence applicable to a stand-alone </w:t>
      </w:r>
      <w:r w:rsidR="00321A2C">
        <w:t>integrated primary care clin</w:t>
      </w:r>
      <w:r w:rsidR="00E85139">
        <w:t>ic</w:t>
      </w:r>
      <w:r w:rsidRPr="008F5B5A">
        <w:t xml:space="preserve">. An integrative review of the literature yielded four overarching themes that reflect optimal administrative strategies for implementing cost reduction and improving medication adherence. Technology integration, systems thinking, comprehensiveness, cost reduction, and reducing administrative burden are each essential for maximizing adherence. Additionally, a systems-level approach grounded in interdisciplinary team coordination </w:t>
      </w:r>
      <w:r w:rsidRPr="008F5B5A">
        <w:lastRenderedPageBreak/>
        <w:t xml:space="preserve">and patient individualization </w:t>
      </w:r>
      <w:r w:rsidR="005D74CE">
        <w:t>wa</w:t>
      </w:r>
      <w:r w:rsidRPr="008F5B5A">
        <w:t xml:space="preserve">s likely to be more effective at fostering medication adherence than a singular approach. </w:t>
      </w:r>
    </w:p>
    <w:p w14:paraId="7338B4D2" w14:textId="77777777" w:rsidR="00CF2D19" w:rsidRPr="008F5B5A" w:rsidRDefault="00CF2D19" w:rsidP="00CF2D19">
      <w:pPr>
        <w:pStyle w:val="BodyText"/>
      </w:pPr>
      <w:r w:rsidRPr="008F5B5A">
        <w:t xml:space="preserve">Results from this study emphasize the need for interdisciplinary, team-based medication management. In many clinical practices, either individual technological interventions are implemented that are never fully integrated organizationally, or overly generic interventions are depended upon due to organizational strain. While addressing macro-level factors contributing to medication nonadherence requires long-term planning, intermediary efforts can be made to implement systems thinking methods in individual clinics and to customize medication management solutions to meet individual patient needs. </w:t>
      </w:r>
    </w:p>
    <w:p w14:paraId="51277E70" w14:textId="77777777" w:rsidR="00F035F1" w:rsidRDefault="00CF2D19" w:rsidP="00927849">
      <w:pPr>
        <w:pStyle w:val="BodyText"/>
      </w:pPr>
      <w:r w:rsidRPr="008F5B5A">
        <w:t xml:space="preserve">These findings help extend existing evidence and knowledge related to medication management by demonstrating the role that administration plays in influencing clinical outcomes. These findings also suggest that cost reduction </w:t>
      </w:r>
      <w:r w:rsidR="005D74CE">
        <w:t>was</w:t>
      </w:r>
      <w:r w:rsidRPr="008F5B5A">
        <w:t xml:space="preserve"> a valid indicator of clinical efficacy, as it impacts patient medication adherence versus nonadherence. Systems thinking </w:t>
      </w:r>
      <w:r w:rsidR="005D74CE">
        <w:t>was</w:t>
      </w:r>
      <w:r w:rsidRPr="008F5B5A">
        <w:t xml:space="preserve"> an effective and coherent framework for conceptualizing medication management and its outcomes, due to its emphasis on integrating multi-component strategies that exist across each level of a clinical setting. A comprehensive administrative system design, rather than one presented in isolation, is essential for minimizing costs while maximizing medication adherence, as indicated by the study's findings. </w:t>
      </w:r>
      <w:bookmarkStart w:id="12" w:name="_Toc130372404"/>
    </w:p>
    <w:p w14:paraId="23F47137" w14:textId="732A79FB" w:rsidR="00920D66" w:rsidRDefault="00805365" w:rsidP="00927849">
      <w:pPr>
        <w:pStyle w:val="BodyText"/>
      </w:pPr>
      <w:r>
        <w:t>This concludes my study.</w:t>
      </w:r>
      <w:r w:rsidR="00920D66">
        <w:br w:type="page"/>
      </w:r>
    </w:p>
    <w:p w14:paraId="32DA820F" w14:textId="33166355" w:rsidR="00B14EF8" w:rsidRPr="00B0324B" w:rsidRDefault="00687E0E" w:rsidP="00216056">
      <w:pPr>
        <w:pStyle w:val="APALevel0"/>
      </w:pPr>
      <w:r w:rsidRPr="00CF2D19">
        <w:lastRenderedPageBreak/>
        <w:t>References</w:t>
      </w:r>
      <w:bookmarkEnd w:id="12"/>
    </w:p>
    <w:p w14:paraId="01DE1ABD" w14:textId="61777178" w:rsidR="008B6812" w:rsidRPr="008B6812" w:rsidRDefault="008B6812" w:rsidP="00CF2D19">
      <w:pPr>
        <w:spacing w:line="480" w:lineRule="auto"/>
        <w:ind w:left="720" w:hanging="720"/>
        <w:contextualSpacing/>
        <w:rPr>
          <w:rFonts w:eastAsia="Aptos"/>
        </w:rPr>
      </w:pPr>
      <w:bookmarkStart w:id="13" w:name="_Hlk192675019"/>
      <w:bookmarkStart w:id="14" w:name="_Hlk192525266"/>
      <w:bookmarkStart w:id="15" w:name="_Hlk192520839"/>
      <w:bookmarkStart w:id="16" w:name="_Hlk192519937"/>
      <w:bookmarkStart w:id="17" w:name="_Hlk41649862"/>
      <w:r>
        <w:rPr>
          <w:rFonts w:eastAsia="Aptos"/>
        </w:rPr>
        <w:t xml:space="preserve">Agency for Healthcare Research and Quality (2024). </w:t>
      </w:r>
      <w:r>
        <w:rPr>
          <w:rFonts w:eastAsia="Aptos"/>
          <w:i/>
          <w:iCs/>
        </w:rPr>
        <w:t xml:space="preserve">Care Coordination. </w:t>
      </w:r>
      <w:r w:rsidRPr="005177AB">
        <w:rPr>
          <w:rFonts w:eastAsia="Aptos"/>
        </w:rPr>
        <w:t>https://www.ahrq.gov/ncepcr/care/coordination.html</w:t>
      </w:r>
    </w:p>
    <w:p w14:paraId="6AA68B00" w14:textId="22A897DF" w:rsidR="00CF2D19" w:rsidRPr="008F5B5A" w:rsidRDefault="00CF2D19" w:rsidP="00CF2D19">
      <w:pPr>
        <w:spacing w:line="480" w:lineRule="auto"/>
        <w:ind w:left="720" w:hanging="720"/>
        <w:contextualSpacing/>
        <w:rPr>
          <w:rFonts w:eastAsia="Aptos"/>
        </w:rPr>
      </w:pPr>
      <w:r w:rsidRPr="008F5B5A">
        <w:rPr>
          <w:rFonts w:eastAsia="Aptos"/>
        </w:rPr>
        <w:t xml:space="preserve">Al-Arkee, S., Mason, J., Lane, D. A., Fabritz, L., Chua, W., Haque, M. S., &amp; Jalal, Z. (2021). Mobile apps to </w:t>
      </w:r>
      <w:r w:rsidR="0032432E">
        <w:rPr>
          <w:rFonts w:eastAsia="Aptos"/>
        </w:rPr>
        <w:t>i</w:t>
      </w:r>
      <w:r w:rsidRPr="008F5B5A">
        <w:rPr>
          <w:rFonts w:eastAsia="Aptos"/>
        </w:rPr>
        <w:t xml:space="preserve">mprove </w:t>
      </w:r>
      <w:r w:rsidR="0032432E">
        <w:rPr>
          <w:rFonts w:eastAsia="Aptos"/>
        </w:rPr>
        <w:t>m</w:t>
      </w:r>
      <w:r w:rsidRPr="008F5B5A">
        <w:rPr>
          <w:rFonts w:eastAsia="Aptos"/>
        </w:rPr>
        <w:t xml:space="preserve">edication </w:t>
      </w:r>
      <w:r w:rsidR="0032432E">
        <w:rPr>
          <w:rFonts w:eastAsia="Aptos"/>
        </w:rPr>
        <w:t>a</w:t>
      </w:r>
      <w:r w:rsidRPr="008F5B5A">
        <w:rPr>
          <w:rFonts w:eastAsia="Aptos"/>
        </w:rPr>
        <w:t xml:space="preserve">dherence in </w:t>
      </w:r>
      <w:r w:rsidR="0032432E">
        <w:rPr>
          <w:rFonts w:eastAsia="Aptos"/>
        </w:rPr>
        <w:t>c</w:t>
      </w:r>
      <w:r w:rsidRPr="008F5B5A">
        <w:rPr>
          <w:rFonts w:eastAsia="Aptos"/>
        </w:rPr>
        <w:t xml:space="preserve">ardiovascular </w:t>
      </w:r>
      <w:r w:rsidR="0032432E">
        <w:rPr>
          <w:rFonts w:eastAsia="Aptos"/>
        </w:rPr>
        <w:t>d</w:t>
      </w:r>
      <w:r w:rsidRPr="008F5B5A">
        <w:rPr>
          <w:rFonts w:eastAsia="Aptos"/>
        </w:rPr>
        <w:t xml:space="preserve">isease: </w:t>
      </w:r>
      <w:r w:rsidR="00BD0582">
        <w:rPr>
          <w:rFonts w:eastAsia="Aptos"/>
        </w:rPr>
        <w:t>s</w:t>
      </w:r>
      <w:r w:rsidRPr="008F5B5A">
        <w:rPr>
          <w:rFonts w:eastAsia="Aptos"/>
        </w:rPr>
        <w:t xml:space="preserve">ystematic </w:t>
      </w:r>
      <w:r w:rsidR="00BD0582">
        <w:rPr>
          <w:rFonts w:eastAsia="Aptos"/>
        </w:rPr>
        <w:t>r</w:t>
      </w:r>
      <w:r w:rsidRPr="008F5B5A">
        <w:rPr>
          <w:rFonts w:eastAsia="Aptos"/>
        </w:rPr>
        <w:t xml:space="preserve">eview and </w:t>
      </w:r>
      <w:r w:rsidR="00BD0582">
        <w:rPr>
          <w:rFonts w:eastAsia="Aptos"/>
        </w:rPr>
        <w:t>m</w:t>
      </w:r>
      <w:r w:rsidRPr="008F5B5A">
        <w:rPr>
          <w:rFonts w:eastAsia="Aptos"/>
        </w:rPr>
        <w:t>eta-analysis. </w:t>
      </w:r>
      <w:r w:rsidRPr="008F5B5A">
        <w:rPr>
          <w:rFonts w:eastAsia="Aptos"/>
          <w:i/>
          <w:iCs/>
        </w:rPr>
        <w:t>Journal of Medical Internet</w:t>
      </w:r>
      <w:r w:rsidR="00677242">
        <w:rPr>
          <w:rFonts w:eastAsia="Aptos"/>
          <w:i/>
          <w:iCs/>
        </w:rPr>
        <w:t xml:space="preserve"> </w:t>
      </w:r>
      <w:r w:rsidRPr="008F5B5A">
        <w:rPr>
          <w:rFonts w:eastAsia="Aptos"/>
          <w:i/>
          <w:iCs/>
        </w:rPr>
        <w:t>Research</w:t>
      </w:r>
      <w:r w:rsidRPr="008F5B5A">
        <w:rPr>
          <w:rFonts w:eastAsia="Aptos"/>
        </w:rPr>
        <w:t>,</w:t>
      </w:r>
      <w:r w:rsidR="00677242">
        <w:rPr>
          <w:rFonts w:eastAsia="Aptos"/>
        </w:rPr>
        <w:t xml:space="preserve"> </w:t>
      </w:r>
      <w:r w:rsidRPr="008F5B5A">
        <w:rPr>
          <w:rFonts w:eastAsia="Aptos"/>
          <w:i/>
          <w:iCs/>
        </w:rPr>
        <w:t>23</w:t>
      </w:r>
      <w:r w:rsidRPr="008F5B5A">
        <w:rPr>
          <w:rFonts w:eastAsia="Aptos"/>
        </w:rPr>
        <w:t>(5),</w:t>
      </w:r>
      <w:r w:rsidR="00677242">
        <w:rPr>
          <w:rFonts w:eastAsia="Aptos"/>
        </w:rPr>
        <w:t xml:space="preserve"> </w:t>
      </w:r>
      <w:r w:rsidRPr="008F5B5A">
        <w:rPr>
          <w:rFonts w:eastAsia="Aptos"/>
        </w:rPr>
        <w:t>e24190. https://doi.org/10.2196/24190</w:t>
      </w:r>
    </w:p>
    <w:bookmarkEnd w:id="13"/>
    <w:p w14:paraId="122F6DF9" w14:textId="389E27C7" w:rsidR="00CF2D19" w:rsidRPr="008F5B5A" w:rsidRDefault="00CF2D19" w:rsidP="00CF2D19">
      <w:pPr>
        <w:spacing w:line="480" w:lineRule="auto"/>
        <w:ind w:left="720" w:hanging="720"/>
        <w:contextualSpacing/>
        <w:rPr>
          <w:rFonts w:eastAsia="Aptos"/>
        </w:rPr>
      </w:pPr>
      <w:r w:rsidRPr="008F5B5A">
        <w:rPr>
          <w:rFonts w:eastAsia="Aptos"/>
        </w:rPr>
        <w:t xml:space="preserve">Al Meslamani, A. Z. (2024). Policy </w:t>
      </w:r>
      <w:r w:rsidR="00BE591F">
        <w:rPr>
          <w:rFonts w:eastAsia="Aptos"/>
        </w:rPr>
        <w:t>so</w:t>
      </w:r>
      <w:r w:rsidRPr="008F5B5A">
        <w:rPr>
          <w:rFonts w:eastAsia="Aptos"/>
        </w:rPr>
        <w:t xml:space="preserve">lutions for </w:t>
      </w:r>
      <w:r w:rsidR="00BE591F">
        <w:rPr>
          <w:rFonts w:eastAsia="Aptos"/>
        </w:rPr>
        <w:t>m</w:t>
      </w:r>
      <w:r w:rsidRPr="008F5B5A">
        <w:rPr>
          <w:rFonts w:eastAsia="Aptos"/>
        </w:rPr>
        <w:t xml:space="preserve">edication </w:t>
      </w:r>
      <w:r w:rsidR="00BE591F">
        <w:rPr>
          <w:rFonts w:eastAsia="Aptos"/>
        </w:rPr>
        <w:t>n</w:t>
      </w:r>
      <w:r w:rsidRPr="008F5B5A">
        <w:rPr>
          <w:rFonts w:eastAsia="Aptos"/>
        </w:rPr>
        <w:t xml:space="preserve">on-adherence: What </w:t>
      </w:r>
      <w:r w:rsidR="00BE591F">
        <w:rPr>
          <w:rFonts w:eastAsia="Aptos"/>
        </w:rPr>
        <w:t>ca</w:t>
      </w:r>
      <w:r w:rsidRPr="008F5B5A">
        <w:rPr>
          <w:rFonts w:eastAsia="Aptos"/>
        </w:rPr>
        <w:t xml:space="preserve">n </w:t>
      </w:r>
      <w:r w:rsidR="00BE591F">
        <w:rPr>
          <w:rFonts w:eastAsia="Aptos"/>
        </w:rPr>
        <w:t>g</w:t>
      </w:r>
      <w:r w:rsidRPr="008F5B5A">
        <w:rPr>
          <w:rFonts w:eastAsia="Aptos"/>
        </w:rPr>
        <w:t xml:space="preserve">overnments </w:t>
      </w:r>
      <w:r w:rsidR="00BE591F">
        <w:rPr>
          <w:rFonts w:eastAsia="Aptos"/>
        </w:rPr>
        <w:t>d</w:t>
      </w:r>
      <w:r w:rsidRPr="008F5B5A">
        <w:rPr>
          <w:rFonts w:eastAsia="Aptos"/>
        </w:rPr>
        <w:t>o? </w:t>
      </w:r>
      <w:r w:rsidRPr="008F5B5A">
        <w:rPr>
          <w:rFonts w:eastAsia="Aptos"/>
          <w:i/>
          <w:iCs/>
        </w:rPr>
        <w:t>Expert Review of Pharmacoeconomics &amp; Outcomes Research</w:t>
      </w:r>
      <w:r w:rsidRPr="008F5B5A">
        <w:rPr>
          <w:rFonts w:eastAsia="Aptos"/>
        </w:rPr>
        <w:t>, </w:t>
      </w:r>
      <w:r w:rsidRPr="008F5B5A">
        <w:rPr>
          <w:rFonts w:eastAsia="Aptos"/>
          <w:i/>
          <w:iCs/>
        </w:rPr>
        <w:t>24</w:t>
      </w:r>
      <w:r w:rsidRPr="008F5B5A">
        <w:rPr>
          <w:rFonts w:eastAsia="Aptos"/>
        </w:rPr>
        <w:t>(7), 777</w:t>
      </w:r>
      <w:r>
        <w:rPr>
          <w:rFonts w:eastAsia="Aptos"/>
        </w:rPr>
        <w:t>–</w:t>
      </w:r>
      <w:r w:rsidRPr="008F5B5A">
        <w:rPr>
          <w:rFonts w:eastAsia="Aptos"/>
        </w:rPr>
        <w:t>781. https://doi.org/10.1080/14737167.2024.2321242</w:t>
      </w:r>
    </w:p>
    <w:p w14:paraId="409A9D4F" w14:textId="2CC8E414" w:rsidR="00CF2D19" w:rsidRPr="008F5B5A" w:rsidRDefault="00CF2D19" w:rsidP="00CF2D19">
      <w:pPr>
        <w:spacing w:line="480" w:lineRule="auto"/>
        <w:ind w:left="720" w:hanging="720"/>
        <w:contextualSpacing/>
        <w:rPr>
          <w:rFonts w:eastAsia="Aptos"/>
        </w:rPr>
      </w:pPr>
      <w:bookmarkStart w:id="18" w:name="_Hlk193013936"/>
      <w:bookmarkStart w:id="19" w:name="_Hlk192858617"/>
      <w:bookmarkEnd w:id="14"/>
      <w:r w:rsidRPr="008F5B5A">
        <w:rPr>
          <w:rFonts w:eastAsia="Aptos"/>
        </w:rPr>
        <w:t>Alsyouf</w:t>
      </w:r>
      <w:bookmarkEnd w:id="18"/>
      <w:r w:rsidRPr="008F5B5A">
        <w:rPr>
          <w:rFonts w:eastAsia="Aptos"/>
        </w:rPr>
        <w:t xml:space="preserve">, A., Lutfi, A., Alsubahi, N., Alhazmi, F. N., Al-Mugheed, K., Anshasi, R. J., Alharbi, N. I., &amp; Albugami, M. (2023). The </w:t>
      </w:r>
      <w:r w:rsidR="00677242">
        <w:rPr>
          <w:rFonts w:eastAsia="Aptos"/>
        </w:rPr>
        <w:t>u</w:t>
      </w:r>
      <w:r w:rsidRPr="008F5B5A">
        <w:rPr>
          <w:rFonts w:eastAsia="Aptos"/>
        </w:rPr>
        <w:t xml:space="preserve">se of a </w:t>
      </w:r>
      <w:r w:rsidR="00D30161">
        <w:rPr>
          <w:rFonts w:eastAsia="Aptos"/>
        </w:rPr>
        <w:t>t</w:t>
      </w:r>
      <w:r w:rsidRPr="008F5B5A">
        <w:rPr>
          <w:rFonts w:eastAsia="Aptos"/>
        </w:rPr>
        <w:t xml:space="preserve">echnology </w:t>
      </w:r>
      <w:r w:rsidR="00D30161">
        <w:rPr>
          <w:rFonts w:eastAsia="Aptos"/>
        </w:rPr>
        <w:t>a</w:t>
      </w:r>
      <w:r w:rsidRPr="008F5B5A">
        <w:rPr>
          <w:rFonts w:eastAsia="Aptos"/>
        </w:rPr>
        <w:t xml:space="preserve">cceptance </w:t>
      </w:r>
      <w:r w:rsidR="00D30161">
        <w:rPr>
          <w:rFonts w:eastAsia="Aptos"/>
        </w:rPr>
        <w:t>m</w:t>
      </w:r>
      <w:r w:rsidRPr="008F5B5A">
        <w:rPr>
          <w:rFonts w:eastAsia="Aptos"/>
        </w:rPr>
        <w:t xml:space="preserve">odel (TAM) to </w:t>
      </w:r>
      <w:r w:rsidR="00D30161">
        <w:rPr>
          <w:rFonts w:eastAsia="Aptos"/>
        </w:rPr>
        <w:t>p</w:t>
      </w:r>
      <w:r w:rsidRPr="008F5B5A">
        <w:rPr>
          <w:rFonts w:eastAsia="Aptos"/>
        </w:rPr>
        <w:t xml:space="preserve">redict </w:t>
      </w:r>
      <w:r w:rsidR="00D30161">
        <w:rPr>
          <w:rFonts w:eastAsia="Aptos"/>
        </w:rPr>
        <w:t>p</w:t>
      </w:r>
      <w:r w:rsidRPr="008F5B5A">
        <w:rPr>
          <w:rFonts w:eastAsia="Aptos"/>
        </w:rPr>
        <w:t>atients</w:t>
      </w:r>
      <w:r w:rsidR="00677242">
        <w:rPr>
          <w:rFonts w:eastAsia="Aptos"/>
        </w:rPr>
        <w:t>’</w:t>
      </w:r>
      <w:r w:rsidRPr="008F5B5A">
        <w:rPr>
          <w:rFonts w:eastAsia="Aptos"/>
        </w:rPr>
        <w:t xml:space="preserve"> </w:t>
      </w:r>
      <w:r w:rsidR="0016743E">
        <w:rPr>
          <w:rFonts w:eastAsia="Aptos"/>
        </w:rPr>
        <w:t>u</w:t>
      </w:r>
      <w:r w:rsidRPr="008F5B5A">
        <w:rPr>
          <w:rFonts w:eastAsia="Aptos"/>
        </w:rPr>
        <w:t xml:space="preserve">sage of a </w:t>
      </w:r>
      <w:r w:rsidR="0016743E">
        <w:rPr>
          <w:rFonts w:eastAsia="Aptos"/>
        </w:rPr>
        <w:t>p</w:t>
      </w:r>
      <w:r w:rsidRPr="008F5B5A">
        <w:rPr>
          <w:rFonts w:eastAsia="Aptos"/>
        </w:rPr>
        <w:t xml:space="preserve">ersonal </w:t>
      </w:r>
      <w:r w:rsidR="0016743E">
        <w:rPr>
          <w:rFonts w:eastAsia="Aptos"/>
        </w:rPr>
        <w:t>h</w:t>
      </w:r>
      <w:r w:rsidRPr="008F5B5A">
        <w:rPr>
          <w:rFonts w:eastAsia="Aptos"/>
        </w:rPr>
        <w:t xml:space="preserve">ealth </w:t>
      </w:r>
      <w:r w:rsidR="0016743E">
        <w:rPr>
          <w:rFonts w:eastAsia="Aptos"/>
        </w:rPr>
        <w:t>r</w:t>
      </w:r>
      <w:r w:rsidRPr="008F5B5A">
        <w:rPr>
          <w:rFonts w:eastAsia="Aptos"/>
        </w:rPr>
        <w:t xml:space="preserve">ecord </w:t>
      </w:r>
      <w:r w:rsidR="0016743E">
        <w:rPr>
          <w:rFonts w:eastAsia="Aptos"/>
        </w:rPr>
        <w:t>s</w:t>
      </w:r>
      <w:r w:rsidRPr="008F5B5A">
        <w:rPr>
          <w:rFonts w:eastAsia="Aptos"/>
        </w:rPr>
        <w:t xml:space="preserve">ystem: The </w:t>
      </w:r>
      <w:r w:rsidR="0041643A">
        <w:rPr>
          <w:rFonts w:eastAsia="Aptos"/>
        </w:rPr>
        <w:t>r</w:t>
      </w:r>
      <w:r w:rsidRPr="008F5B5A">
        <w:rPr>
          <w:rFonts w:eastAsia="Aptos"/>
        </w:rPr>
        <w:t xml:space="preserve">ole of </w:t>
      </w:r>
      <w:r w:rsidR="0041643A">
        <w:rPr>
          <w:rFonts w:eastAsia="Aptos"/>
        </w:rPr>
        <w:t>s</w:t>
      </w:r>
      <w:r w:rsidRPr="008F5B5A">
        <w:rPr>
          <w:rFonts w:eastAsia="Aptos"/>
        </w:rPr>
        <w:t xml:space="preserve">ecurity, </w:t>
      </w:r>
      <w:r w:rsidR="0041643A">
        <w:rPr>
          <w:rFonts w:eastAsia="Aptos"/>
        </w:rPr>
        <w:t>p</w:t>
      </w:r>
      <w:r w:rsidRPr="008F5B5A">
        <w:rPr>
          <w:rFonts w:eastAsia="Aptos"/>
        </w:rPr>
        <w:t xml:space="preserve">rivacy, and </w:t>
      </w:r>
      <w:r w:rsidR="0041643A">
        <w:rPr>
          <w:rFonts w:eastAsia="Aptos"/>
        </w:rPr>
        <w:t>u</w:t>
      </w:r>
      <w:r w:rsidRPr="008F5B5A">
        <w:rPr>
          <w:rFonts w:eastAsia="Aptos"/>
        </w:rPr>
        <w:t>sability. </w:t>
      </w:r>
      <w:r w:rsidRPr="008F5B5A">
        <w:rPr>
          <w:rFonts w:eastAsia="Aptos"/>
          <w:i/>
          <w:iCs/>
        </w:rPr>
        <w:t>International Journal of Environmental Research and Public Health</w:t>
      </w:r>
      <w:r w:rsidRPr="008F5B5A">
        <w:rPr>
          <w:rFonts w:eastAsia="Aptos"/>
        </w:rPr>
        <w:t>, </w:t>
      </w:r>
      <w:r w:rsidRPr="008F5B5A">
        <w:rPr>
          <w:rFonts w:eastAsia="Aptos"/>
          <w:i/>
          <w:iCs/>
        </w:rPr>
        <w:t>20</w:t>
      </w:r>
      <w:r w:rsidRPr="008F5B5A">
        <w:rPr>
          <w:rFonts w:eastAsia="Aptos"/>
        </w:rPr>
        <w:t>(2), 1347. https://doi.org/10.3390/ijerph20021347</w:t>
      </w:r>
    </w:p>
    <w:bookmarkEnd w:id="19"/>
    <w:p w14:paraId="01479549" w14:textId="60797215" w:rsidR="00CF2D19" w:rsidRPr="008F02C4" w:rsidRDefault="00CF2D19" w:rsidP="00CF2D19">
      <w:pPr>
        <w:spacing w:line="480" w:lineRule="auto"/>
        <w:ind w:left="720" w:hanging="720"/>
        <w:contextualSpacing/>
        <w:rPr>
          <w:rFonts w:eastAsia="Aptos"/>
          <w:lang w:val="es-ES"/>
        </w:rPr>
      </w:pPr>
      <w:r w:rsidRPr="008F5B5A">
        <w:rPr>
          <w:rFonts w:eastAsia="Aptos"/>
        </w:rPr>
        <w:t xml:space="preserve">Aremu, T. O., Oluwole, O. E., Adeyinka, K. O., &amp; Schommer, J. C. (2022). Medication </w:t>
      </w:r>
      <w:r w:rsidR="0041643A">
        <w:rPr>
          <w:rFonts w:eastAsia="Aptos"/>
        </w:rPr>
        <w:t>a</w:t>
      </w:r>
      <w:r w:rsidRPr="008F5B5A">
        <w:rPr>
          <w:rFonts w:eastAsia="Aptos"/>
        </w:rPr>
        <w:t xml:space="preserve">dherence and </w:t>
      </w:r>
      <w:r w:rsidR="0041643A">
        <w:rPr>
          <w:rFonts w:eastAsia="Aptos"/>
        </w:rPr>
        <w:t>c</w:t>
      </w:r>
      <w:r w:rsidRPr="008F5B5A">
        <w:rPr>
          <w:rFonts w:eastAsia="Aptos"/>
        </w:rPr>
        <w:t xml:space="preserve">ompliance: A </w:t>
      </w:r>
      <w:r w:rsidR="0041643A">
        <w:rPr>
          <w:rFonts w:eastAsia="Aptos"/>
        </w:rPr>
        <w:t>r</w:t>
      </w:r>
      <w:r w:rsidRPr="008F5B5A">
        <w:rPr>
          <w:rFonts w:eastAsia="Aptos"/>
        </w:rPr>
        <w:t xml:space="preserve">ecipe for </w:t>
      </w:r>
      <w:r w:rsidR="0041643A">
        <w:rPr>
          <w:rFonts w:eastAsia="Aptos"/>
        </w:rPr>
        <w:t>i</w:t>
      </w:r>
      <w:r w:rsidRPr="008F5B5A">
        <w:rPr>
          <w:rFonts w:eastAsia="Aptos"/>
        </w:rPr>
        <w:t xml:space="preserve">mproving </w:t>
      </w:r>
      <w:r w:rsidR="0041643A">
        <w:rPr>
          <w:rFonts w:eastAsia="Aptos"/>
        </w:rPr>
        <w:t>p</w:t>
      </w:r>
      <w:r w:rsidRPr="008F5B5A">
        <w:rPr>
          <w:rFonts w:eastAsia="Aptos"/>
        </w:rPr>
        <w:t>atient</w:t>
      </w:r>
      <w:r w:rsidR="004A2B8E">
        <w:rPr>
          <w:rFonts w:eastAsia="Aptos"/>
        </w:rPr>
        <w:t xml:space="preserve"> </w:t>
      </w:r>
      <w:r w:rsidR="0041643A">
        <w:rPr>
          <w:rFonts w:eastAsia="Aptos"/>
        </w:rPr>
        <w:t>o</w:t>
      </w:r>
      <w:r w:rsidRPr="008F5B5A">
        <w:rPr>
          <w:rFonts w:eastAsia="Aptos"/>
        </w:rPr>
        <w:t>utcomes.</w:t>
      </w:r>
      <w:r w:rsidR="004A2B8E">
        <w:rPr>
          <w:rFonts w:eastAsia="Aptos"/>
        </w:rPr>
        <w:t xml:space="preserve"> </w:t>
      </w:r>
      <w:r w:rsidRPr="008F02C4">
        <w:rPr>
          <w:rFonts w:eastAsia="Aptos"/>
          <w:i/>
          <w:iCs/>
          <w:lang w:val="es-ES"/>
        </w:rPr>
        <w:t>Pharmacy</w:t>
      </w:r>
      <w:r w:rsidRPr="008F02C4">
        <w:rPr>
          <w:rFonts w:eastAsia="Aptos"/>
          <w:lang w:val="es-ES"/>
        </w:rPr>
        <w:t>, </w:t>
      </w:r>
      <w:r w:rsidRPr="008F02C4">
        <w:rPr>
          <w:rFonts w:eastAsia="Aptos"/>
          <w:i/>
          <w:iCs/>
          <w:lang w:val="es-ES"/>
        </w:rPr>
        <w:t>10</w:t>
      </w:r>
      <w:r w:rsidRPr="008F02C4">
        <w:rPr>
          <w:rFonts w:eastAsia="Aptos"/>
          <w:lang w:val="es-ES"/>
        </w:rPr>
        <w:t>(5), 106. https://doi.org/10.3390/pharmacy10050106</w:t>
      </w:r>
    </w:p>
    <w:p w14:paraId="3236CBAA" w14:textId="3DFFAF6D" w:rsidR="00CF2D19" w:rsidRPr="008F5B5A" w:rsidRDefault="00CF2D19" w:rsidP="00CF2D19">
      <w:pPr>
        <w:spacing w:line="480" w:lineRule="auto"/>
        <w:ind w:left="720" w:hanging="720"/>
        <w:contextualSpacing/>
        <w:rPr>
          <w:rFonts w:eastAsia="Aptos"/>
        </w:rPr>
      </w:pPr>
      <w:bookmarkStart w:id="20" w:name="_Hlk192674702"/>
      <w:bookmarkStart w:id="21" w:name="_Hlk192674411"/>
      <w:bookmarkStart w:id="22" w:name="_Hlk192523716"/>
      <w:bookmarkStart w:id="23" w:name="_Hlk192522077"/>
      <w:bookmarkEnd w:id="15"/>
      <w:r w:rsidRPr="008F02C4">
        <w:rPr>
          <w:rFonts w:eastAsia="Aptos"/>
          <w:lang w:val="es-ES"/>
        </w:rPr>
        <w:t xml:space="preserve">Babel, A., Taneja, R., Mondello Malvestiti, F., Monaco, A., &amp; Donde, S. (2021). </w:t>
      </w:r>
      <w:r w:rsidRPr="008F5B5A">
        <w:rPr>
          <w:rFonts w:eastAsia="Aptos"/>
        </w:rPr>
        <w:t xml:space="preserve">Artificial </w:t>
      </w:r>
      <w:r w:rsidR="0041643A">
        <w:rPr>
          <w:rFonts w:eastAsia="Aptos"/>
        </w:rPr>
        <w:t>i</w:t>
      </w:r>
      <w:r w:rsidRPr="008F5B5A">
        <w:rPr>
          <w:rFonts w:eastAsia="Aptos"/>
        </w:rPr>
        <w:t xml:space="preserve">ntelligence </w:t>
      </w:r>
      <w:r w:rsidR="0041643A">
        <w:rPr>
          <w:rFonts w:eastAsia="Aptos"/>
        </w:rPr>
        <w:t>s</w:t>
      </w:r>
      <w:r w:rsidRPr="008F5B5A">
        <w:rPr>
          <w:rFonts w:eastAsia="Aptos"/>
        </w:rPr>
        <w:t xml:space="preserve">olutions to </w:t>
      </w:r>
      <w:r w:rsidR="0041643A">
        <w:rPr>
          <w:rFonts w:eastAsia="Aptos"/>
        </w:rPr>
        <w:t>i</w:t>
      </w:r>
      <w:r w:rsidRPr="008F5B5A">
        <w:rPr>
          <w:rFonts w:eastAsia="Aptos"/>
        </w:rPr>
        <w:t xml:space="preserve">ncrease </w:t>
      </w:r>
      <w:r w:rsidR="0041643A">
        <w:rPr>
          <w:rFonts w:eastAsia="Aptos"/>
        </w:rPr>
        <w:t>m</w:t>
      </w:r>
      <w:r w:rsidRPr="008F5B5A">
        <w:rPr>
          <w:rFonts w:eastAsia="Aptos"/>
        </w:rPr>
        <w:t xml:space="preserve">edication </w:t>
      </w:r>
      <w:r w:rsidR="0041643A">
        <w:rPr>
          <w:rFonts w:eastAsia="Aptos"/>
        </w:rPr>
        <w:t>a</w:t>
      </w:r>
      <w:r w:rsidRPr="008F5B5A">
        <w:rPr>
          <w:rFonts w:eastAsia="Aptos"/>
        </w:rPr>
        <w:t xml:space="preserve">dherence in </w:t>
      </w:r>
      <w:r w:rsidR="0041643A">
        <w:rPr>
          <w:rFonts w:eastAsia="Aptos"/>
        </w:rPr>
        <w:t>p</w:t>
      </w:r>
      <w:r w:rsidRPr="008F5B5A">
        <w:rPr>
          <w:rFonts w:eastAsia="Aptos"/>
        </w:rPr>
        <w:t xml:space="preserve">atients with </w:t>
      </w:r>
      <w:r w:rsidR="0041643A">
        <w:rPr>
          <w:rFonts w:eastAsia="Aptos"/>
        </w:rPr>
        <w:t>n</w:t>
      </w:r>
      <w:r w:rsidRPr="008F5B5A">
        <w:rPr>
          <w:rFonts w:eastAsia="Aptos"/>
        </w:rPr>
        <w:t xml:space="preserve">on-communicable </w:t>
      </w:r>
      <w:r w:rsidR="0041643A">
        <w:rPr>
          <w:rFonts w:eastAsia="Aptos"/>
        </w:rPr>
        <w:t>d</w:t>
      </w:r>
      <w:r w:rsidRPr="008F5B5A">
        <w:rPr>
          <w:rFonts w:eastAsia="Aptos"/>
        </w:rPr>
        <w:t>iseases. </w:t>
      </w:r>
      <w:r w:rsidRPr="008F5B5A">
        <w:rPr>
          <w:rFonts w:eastAsia="Aptos"/>
          <w:i/>
          <w:iCs/>
        </w:rPr>
        <w:t>Frontiers in Digital Health</w:t>
      </w:r>
      <w:r w:rsidRPr="008F5B5A">
        <w:rPr>
          <w:rFonts w:eastAsia="Aptos"/>
        </w:rPr>
        <w:t>, </w:t>
      </w:r>
      <w:r w:rsidRPr="008F5B5A">
        <w:rPr>
          <w:rFonts w:eastAsia="Aptos"/>
          <w:i/>
          <w:iCs/>
        </w:rPr>
        <w:t>3</w:t>
      </w:r>
      <w:r w:rsidRPr="008F5B5A">
        <w:rPr>
          <w:rFonts w:eastAsia="Aptos"/>
        </w:rPr>
        <w:t>, 669869. https://doi.org/10.3389/fdgth.2021.669869</w:t>
      </w:r>
    </w:p>
    <w:p w14:paraId="7B3010CC" w14:textId="2AA12333" w:rsidR="00CF2D19" w:rsidRPr="008F5B5A" w:rsidRDefault="00CF2D19" w:rsidP="00CF2D19">
      <w:pPr>
        <w:spacing w:line="480" w:lineRule="auto"/>
        <w:ind w:left="720" w:hanging="720"/>
        <w:contextualSpacing/>
        <w:rPr>
          <w:rFonts w:eastAsia="Aptos"/>
        </w:rPr>
      </w:pPr>
      <w:bookmarkStart w:id="24" w:name="_Hlk192851391"/>
      <w:bookmarkStart w:id="25" w:name="_Hlk192680779"/>
      <w:bookmarkEnd w:id="20"/>
      <w:r w:rsidRPr="008F5B5A">
        <w:rPr>
          <w:rFonts w:eastAsia="Aptos"/>
        </w:rPr>
        <w:lastRenderedPageBreak/>
        <w:t>Bąk-Sosnowska</w:t>
      </w:r>
      <w:bookmarkEnd w:id="24"/>
      <w:r w:rsidRPr="008F5B5A">
        <w:rPr>
          <w:rFonts w:eastAsia="Aptos"/>
        </w:rPr>
        <w:t xml:space="preserve">, M., Gruszczyńska, M., Wyszomirska, J., &amp; Daniel-Sielańczyk, A. (2022). The </w:t>
      </w:r>
      <w:r w:rsidR="0041643A">
        <w:rPr>
          <w:rFonts w:eastAsia="Aptos"/>
        </w:rPr>
        <w:t>i</w:t>
      </w:r>
      <w:r w:rsidRPr="008F5B5A">
        <w:rPr>
          <w:rFonts w:eastAsia="Aptos"/>
        </w:rPr>
        <w:t xml:space="preserve">nfluence of </w:t>
      </w:r>
      <w:r w:rsidR="0041643A">
        <w:rPr>
          <w:rFonts w:eastAsia="Aptos"/>
        </w:rPr>
        <w:t>s</w:t>
      </w:r>
      <w:r w:rsidRPr="008F5B5A">
        <w:rPr>
          <w:rFonts w:eastAsia="Aptos"/>
        </w:rPr>
        <w:t xml:space="preserve">elected </w:t>
      </w:r>
      <w:r w:rsidR="0041643A">
        <w:rPr>
          <w:rFonts w:eastAsia="Aptos"/>
        </w:rPr>
        <w:t>p</w:t>
      </w:r>
      <w:r w:rsidRPr="008F5B5A">
        <w:rPr>
          <w:rFonts w:eastAsia="Aptos"/>
        </w:rPr>
        <w:t xml:space="preserve">sychological </w:t>
      </w:r>
      <w:r w:rsidR="0041643A">
        <w:rPr>
          <w:rFonts w:eastAsia="Aptos"/>
        </w:rPr>
        <w:t>f</w:t>
      </w:r>
      <w:r w:rsidRPr="008F5B5A">
        <w:rPr>
          <w:rFonts w:eastAsia="Aptos"/>
        </w:rPr>
        <w:t xml:space="preserve">actors on </w:t>
      </w:r>
      <w:r w:rsidR="0041643A">
        <w:rPr>
          <w:rFonts w:eastAsia="Aptos"/>
        </w:rPr>
        <w:t>m</w:t>
      </w:r>
      <w:r w:rsidRPr="008F5B5A">
        <w:rPr>
          <w:rFonts w:eastAsia="Aptos"/>
        </w:rPr>
        <w:t xml:space="preserve">edication </w:t>
      </w:r>
      <w:r w:rsidR="0041643A">
        <w:rPr>
          <w:rFonts w:eastAsia="Aptos"/>
        </w:rPr>
        <w:t>a</w:t>
      </w:r>
      <w:r w:rsidRPr="008F5B5A">
        <w:rPr>
          <w:rFonts w:eastAsia="Aptos"/>
        </w:rPr>
        <w:t xml:space="preserve">dherence in </w:t>
      </w:r>
      <w:r w:rsidR="000C5563">
        <w:rPr>
          <w:rFonts w:eastAsia="Aptos"/>
        </w:rPr>
        <w:t>p</w:t>
      </w:r>
      <w:r w:rsidRPr="008F5B5A">
        <w:rPr>
          <w:rFonts w:eastAsia="Aptos"/>
        </w:rPr>
        <w:t xml:space="preserve">atients with </w:t>
      </w:r>
      <w:r w:rsidR="000C5563">
        <w:rPr>
          <w:rFonts w:eastAsia="Aptos"/>
        </w:rPr>
        <w:t>c</w:t>
      </w:r>
      <w:r w:rsidRPr="008F5B5A">
        <w:rPr>
          <w:rFonts w:eastAsia="Aptos"/>
        </w:rPr>
        <w:t xml:space="preserve">hronic </w:t>
      </w:r>
      <w:r w:rsidR="000C5563">
        <w:rPr>
          <w:rFonts w:eastAsia="Aptos"/>
        </w:rPr>
        <w:t>d</w:t>
      </w:r>
      <w:r w:rsidRPr="008F5B5A">
        <w:rPr>
          <w:rFonts w:eastAsia="Aptos"/>
        </w:rPr>
        <w:t>iseases. </w:t>
      </w:r>
      <w:r w:rsidRPr="008F5B5A">
        <w:rPr>
          <w:rFonts w:eastAsia="Aptos"/>
          <w:i/>
          <w:iCs/>
        </w:rPr>
        <w:t>Healthcare</w:t>
      </w:r>
      <w:r w:rsidRPr="008F5B5A">
        <w:rPr>
          <w:rFonts w:eastAsia="Aptos"/>
        </w:rPr>
        <w:t xml:space="preserve">, </w:t>
      </w:r>
      <w:r w:rsidRPr="00AB4F16">
        <w:rPr>
          <w:rFonts w:eastAsia="Aptos"/>
          <w:i/>
          <w:iCs/>
        </w:rPr>
        <w:t>10</w:t>
      </w:r>
      <w:r w:rsidRPr="00927849">
        <w:rPr>
          <w:rFonts w:eastAsia="Aptos"/>
        </w:rPr>
        <w:t>(3), 426.</w:t>
      </w:r>
      <w:r w:rsidRPr="008F5B5A">
        <w:rPr>
          <w:rFonts w:eastAsia="Aptos"/>
        </w:rPr>
        <w:t xml:space="preserve"> https://doi.org/10.3390/healthcare10030426</w:t>
      </w:r>
    </w:p>
    <w:p w14:paraId="7E0157DB" w14:textId="045F6C35" w:rsidR="00CF2D19" w:rsidRPr="008F5B5A" w:rsidRDefault="00CF2D19" w:rsidP="00CF2D19">
      <w:pPr>
        <w:spacing w:line="480" w:lineRule="auto"/>
        <w:ind w:left="720" w:hanging="720"/>
        <w:contextualSpacing/>
        <w:rPr>
          <w:rFonts w:eastAsia="Aptos"/>
        </w:rPr>
      </w:pPr>
      <w:r w:rsidRPr="008F5B5A">
        <w:rPr>
          <w:rFonts w:eastAsia="Aptos"/>
        </w:rPr>
        <w:t xml:space="preserve">Baryakova, T. H., Pogostin, B. H., Langer, R., &amp; McHugh, K. J. (2023). Overcoming </w:t>
      </w:r>
      <w:r w:rsidR="000C5563">
        <w:rPr>
          <w:rFonts w:eastAsia="Aptos"/>
        </w:rPr>
        <w:t>b</w:t>
      </w:r>
      <w:r w:rsidRPr="008F5B5A">
        <w:rPr>
          <w:rFonts w:eastAsia="Aptos"/>
        </w:rPr>
        <w:t xml:space="preserve">arriers to </w:t>
      </w:r>
      <w:r w:rsidR="000C5563">
        <w:rPr>
          <w:rFonts w:eastAsia="Aptos"/>
        </w:rPr>
        <w:t>p</w:t>
      </w:r>
      <w:r w:rsidRPr="008F5B5A">
        <w:rPr>
          <w:rFonts w:eastAsia="Aptos"/>
        </w:rPr>
        <w:t xml:space="preserve">atient </w:t>
      </w:r>
      <w:r w:rsidR="000C5563">
        <w:rPr>
          <w:rFonts w:eastAsia="Aptos"/>
        </w:rPr>
        <w:t>a</w:t>
      </w:r>
      <w:r w:rsidRPr="008F5B5A">
        <w:rPr>
          <w:rFonts w:eastAsia="Aptos"/>
        </w:rPr>
        <w:t xml:space="preserve">dherence: The </w:t>
      </w:r>
      <w:r w:rsidR="000C5563">
        <w:rPr>
          <w:rFonts w:eastAsia="Aptos"/>
        </w:rPr>
        <w:t>c</w:t>
      </w:r>
      <w:r w:rsidRPr="008F5B5A">
        <w:rPr>
          <w:rFonts w:eastAsia="Aptos"/>
        </w:rPr>
        <w:t xml:space="preserve">ase for </w:t>
      </w:r>
      <w:r w:rsidR="000C5563">
        <w:rPr>
          <w:rFonts w:eastAsia="Aptos"/>
        </w:rPr>
        <w:t>d</w:t>
      </w:r>
      <w:r w:rsidRPr="008F5B5A">
        <w:rPr>
          <w:rFonts w:eastAsia="Aptos"/>
        </w:rPr>
        <w:t xml:space="preserve">eveloping </w:t>
      </w:r>
      <w:r w:rsidR="000C5563">
        <w:rPr>
          <w:rFonts w:eastAsia="Aptos"/>
        </w:rPr>
        <w:t>i</w:t>
      </w:r>
      <w:r w:rsidRPr="008F5B5A">
        <w:rPr>
          <w:rFonts w:eastAsia="Aptos"/>
        </w:rPr>
        <w:t xml:space="preserve">nnovative </w:t>
      </w:r>
      <w:r w:rsidR="000C5563">
        <w:rPr>
          <w:rFonts w:eastAsia="Aptos"/>
        </w:rPr>
        <w:t>d</w:t>
      </w:r>
      <w:r w:rsidRPr="008F5B5A">
        <w:rPr>
          <w:rFonts w:eastAsia="Aptos"/>
        </w:rPr>
        <w:t xml:space="preserve">rug </w:t>
      </w:r>
      <w:r w:rsidR="000C5563">
        <w:rPr>
          <w:rFonts w:eastAsia="Aptos"/>
        </w:rPr>
        <w:t>d</w:t>
      </w:r>
      <w:r w:rsidRPr="008F5B5A">
        <w:rPr>
          <w:rFonts w:eastAsia="Aptos"/>
        </w:rPr>
        <w:t xml:space="preserve">elivery </w:t>
      </w:r>
      <w:r w:rsidR="000C5563">
        <w:rPr>
          <w:rFonts w:eastAsia="Aptos"/>
        </w:rPr>
        <w:t>s</w:t>
      </w:r>
      <w:r w:rsidRPr="008F5B5A">
        <w:rPr>
          <w:rFonts w:eastAsia="Aptos"/>
        </w:rPr>
        <w:t>ystems. </w:t>
      </w:r>
      <w:r w:rsidRPr="008F5B5A">
        <w:rPr>
          <w:rFonts w:eastAsia="Aptos"/>
          <w:i/>
          <w:iCs/>
        </w:rPr>
        <w:t>Nature Reviews Drug Discovery</w:t>
      </w:r>
      <w:r w:rsidRPr="008F5B5A">
        <w:rPr>
          <w:rFonts w:eastAsia="Aptos"/>
        </w:rPr>
        <w:t>, </w:t>
      </w:r>
      <w:r w:rsidRPr="008F5B5A">
        <w:rPr>
          <w:rFonts w:eastAsia="Aptos"/>
          <w:i/>
          <w:iCs/>
        </w:rPr>
        <w:t>22</w:t>
      </w:r>
      <w:r w:rsidRPr="008F5B5A">
        <w:rPr>
          <w:rFonts w:eastAsia="Aptos"/>
        </w:rPr>
        <w:t>(5), 387</w:t>
      </w:r>
      <w:r w:rsidR="00717B61">
        <w:rPr>
          <w:rFonts w:eastAsia="Aptos"/>
        </w:rPr>
        <w:t>–</w:t>
      </w:r>
      <w:r w:rsidRPr="008F5B5A">
        <w:rPr>
          <w:rFonts w:eastAsia="Aptos"/>
        </w:rPr>
        <w:t>409. https://doi.org/10.1038/s41573-023-00670-0</w:t>
      </w:r>
    </w:p>
    <w:p w14:paraId="14946AD1" w14:textId="03646523" w:rsidR="00CF2D19" w:rsidRPr="008F5B5A" w:rsidRDefault="00CF2D19" w:rsidP="00CF2D19">
      <w:pPr>
        <w:spacing w:line="480" w:lineRule="auto"/>
        <w:ind w:left="720" w:hanging="720"/>
        <w:contextualSpacing/>
        <w:rPr>
          <w:rFonts w:eastAsia="Aptos"/>
        </w:rPr>
      </w:pPr>
      <w:bookmarkStart w:id="26" w:name="_Hlk192857993"/>
      <w:bookmarkEnd w:id="25"/>
      <w:r w:rsidRPr="008F5B5A">
        <w:rPr>
          <w:rFonts w:eastAsia="Aptos"/>
        </w:rPr>
        <w:t>Beauvais</w:t>
      </w:r>
      <w:bookmarkEnd w:id="26"/>
      <w:r w:rsidRPr="008F5B5A">
        <w:rPr>
          <w:rFonts w:eastAsia="Aptos"/>
        </w:rPr>
        <w:t>, B., Kruse, C. S., Fulton, L., Brooks, M., Mileski, M., Lee, K., Ramamonjiarivelo,</w:t>
      </w:r>
      <w:r w:rsidR="001949E6">
        <w:rPr>
          <w:rFonts w:eastAsia="Aptos"/>
        </w:rPr>
        <w:t xml:space="preserve"> </w:t>
      </w:r>
      <w:r w:rsidRPr="008F5B5A">
        <w:rPr>
          <w:rFonts w:eastAsia="Aptos"/>
        </w:rPr>
        <w:t>Z.,</w:t>
      </w:r>
      <w:r w:rsidR="001949E6">
        <w:rPr>
          <w:rFonts w:eastAsia="Aptos"/>
        </w:rPr>
        <w:t xml:space="preserve"> </w:t>
      </w:r>
      <w:r w:rsidRPr="008F5B5A">
        <w:rPr>
          <w:rFonts w:eastAsia="Aptos"/>
        </w:rPr>
        <w:t xml:space="preserve">&amp; Shanmugam, R. (2021). Testing </w:t>
      </w:r>
      <w:r w:rsidR="00222119">
        <w:rPr>
          <w:rFonts w:eastAsia="Aptos"/>
        </w:rPr>
        <w:t>K</w:t>
      </w:r>
      <w:r w:rsidR="00222119" w:rsidRPr="008F5B5A">
        <w:rPr>
          <w:rFonts w:eastAsia="Aptos"/>
        </w:rPr>
        <w:t>issick’s</w:t>
      </w:r>
      <w:r w:rsidRPr="008F5B5A">
        <w:rPr>
          <w:rFonts w:eastAsia="Aptos"/>
        </w:rPr>
        <w:t xml:space="preserve"> </w:t>
      </w:r>
      <w:r w:rsidR="001949E6">
        <w:rPr>
          <w:rFonts w:eastAsia="Aptos"/>
        </w:rPr>
        <w:t>i</w:t>
      </w:r>
      <w:r w:rsidRPr="008F5B5A">
        <w:rPr>
          <w:rFonts w:eastAsia="Aptos"/>
        </w:rPr>
        <w:t xml:space="preserve">ron </w:t>
      </w:r>
      <w:r w:rsidR="001949E6">
        <w:rPr>
          <w:rFonts w:eastAsia="Aptos"/>
        </w:rPr>
        <w:t>t</w:t>
      </w:r>
      <w:r w:rsidRPr="008F5B5A">
        <w:rPr>
          <w:rFonts w:eastAsia="Aptos"/>
        </w:rPr>
        <w:t xml:space="preserve">riangle: </w:t>
      </w:r>
      <w:r w:rsidR="001949E6">
        <w:rPr>
          <w:rFonts w:eastAsia="Aptos"/>
        </w:rPr>
        <w:t>S</w:t>
      </w:r>
      <w:r w:rsidRPr="008F5B5A">
        <w:rPr>
          <w:rFonts w:eastAsia="Aptos"/>
        </w:rPr>
        <w:t xml:space="preserve">tructural </w:t>
      </w:r>
      <w:r w:rsidR="000C5563">
        <w:rPr>
          <w:rFonts w:eastAsia="Aptos"/>
        </w:rPr>
        <w:t>e</w:t>
      </w:r>
      <w:r w:rsidRPr="008F5B5A">
        <w:rPr>
          <w:rFonts w:eastAsia="Aptos"/>
        </w:rPr>
        <w:t xml:space="preserve">quation </w:t>
      </w:r>
      <w:r w:rsidR="000C5563">
        <w:rPr>
          <w:rFonts w:eastAsia="Aptos"/>
        </w:rPr>
        <w:t>m</w:t>
      </w:r>
      <w:r w:rsidRPr="008F5B5A">
        <w:rPr>
          <w:rFonts w:eastAsia="Aptos"/>
        </w:rPr>
        <w:t xml:space="preserve">odeling </w:t>
      </w:r>
      <w:r w:rsidR="000C5563">
        <w:rPr>
          <w:rFonts w:eastAsia="Aptos"/>
        </w:rPr>
        <w:t>a</w:t>
      </w:r>
      <w:r w:rsidRPr="008F5B5A">
        <w:rPr>
          <w:rFonts w:eastAsia="Aptos"/>
        </w:rPr>
        <w:t xml:space="preserve">nalysis of a </w:t>
      </w:r>
      <w:r w:rsidR="000C5563">
        <w:rPr>
          <w:rFonts w:eastAsia="Aptos"/>
        </w:rPr>
        <w:t>p</w:t>
      </w:r>
      <w:r w:rsidRPr="008F5B5A">
        <w:rPr>
          <w:rFonts w:eastAsia="Aptos"/>
        </w:rPr>
        <w:t xml:space="preserve">ractical </w:t>
      </w:r>
      <w:r w:rsidR="000C5563">
        <w:rPr>
          <w:rFonts w:eastAsia="Aptos"/>
        </w:rPr>
        <w:t>t</w:t>
      </w:r>
      <w:r w:rsidRPr="008F5B5A">
        <w:rPr>
          <w:rFonts w:eastAsia="Aptos"/>
        </w:rPr>
        <w:t>heory. </w:t>
      </w:r>
      <w:r w:rsidRPr="008F5B5A">
        <w:rPr>
          <w:rFonts w:eastAsia="Aptos"/>
          <w:i/>
          <w:iCs/>
        </w:rPr>
        <w:t>Healthcare</w:t>
      </w:r>
      <w:r w:rsidRPr="008F5B5A">
        <w:rPr>
          <w:rFonts w:eastAsia="Aptos"/>
        </w:rPr>
        <w:t>, </w:t>
      </w:r>
      <w:r w:rsidRPr="008F5B5A">
        <w:rPr>
          <w:rFonts w:eastAsia="Aptos"/>
          <w:i/>
          <w:iCs/>
        </w:rPr>
        <w:t>9</w:t>
      </w:r>
      <w:r w:rsidRPr="008F5B5A">
        <w:rPr>
          <w:rFonts w:eastAsia="Aptos"/>
        </w:rPr>
        <w:t>(12), 1753. https://doi.org/10.3390/healthcare9121753</w:t>
      </w:r>
    </w:p>
    <w:p w14:paraId="1CD289F4" w14:textId="46C6BE1F" w:rsidR="00CF2D19" w:rsidRPr="008F5B5A" w:rsidRDefault="00CF2D19" w:rsidP="00CF2D19">
      <w:pPr>
        <w:spacing w:line="480" w:lineRule="auto"/>
        <w:ind w:left="720" w:hanging="720"/>
        <w:contextualSpacing/>
        <w:rPr>
          <w:rFonts w:eastAsia="Aptos"/>
        </w:rPr>
      </w:pPr>
      <w:r w:rsidRPr="008F5B5A">
        <w:rPr>
          <w:rFonts w:eastAsia="Aptos"/>
        </w:rPr>
        <w:t xml:space="preserve">Bohlmann, A., Mostafa, J., &amp; Kumar, M. (2021). Machine </w:t>
      </w:r>
      <w:r w:rsidR="000C5563">
        <w:rPr>
          <w:rFonts w:eastAsia="Aptos"/>
        </w:rPr>
        <w:t>l</w:t>
      </w:r>
      <w:r w:rsidRPr="008F5B5A">
        <w:rPr>
          <w:rFonts w:eastAsia="Aptos"/>
        </w:rPr>
        <w:t xml:space="preserve">earning and </w:t>
      </w:r>
      <w:r w:rsidR="000C5563">
        <w:rPr>
          <w:rFonts w:eastAsia="Aptos"/>
        </w:rPr>
        <w:t>m</w:t>
      </w:r>
      <w:r w:rsidRPr="008F5B5A">
        <w:rPr>
          <w:rFonts w:eastAsia="Aptos"/>
        </w:rPr>
        <w:t xml:space="preserve">edication </w:t>
      </w:r>
      <w:r w:rsidR="000C5563">
        <w:rPr>
          <w:rFonts w:eastAsia="Aptos"/>
        </w:rPr>
        <w:t>a</w:t>
      </w:r>
      <w:r w:rsidRPr="008F5B5A">
        <w:rPr>
          <w:rFonts w:eastAsia="Aptos"/>
        </w:rPr>
        <w:t xml:space="preserve">dherence: A </w:t>
      </w:r>
      <w:r w:rsidR="00311AAD">
        <w:rPr>
          <w:rFonts w:eastAsia="Aptos"/>
        </w:rPr>
        <w:t>s</w:t>
      </w:r>
      <w:r w:rsidRPr="008F5B5A">
        <w:rPr>
          <w:rFonts w:eastAsia="Aptos"/>
        </w:rPr>
        <w:t xml:space="preserve">coping </w:t>
      </w:r>
      <w:r w:rsidR="00311AAD">
        <w:rPr>
          <w:rFonts w:eastAsia="Aptos"/>
        </w:rPr>
        <w:t>r</w:t>
      </w:r>
      <w:r w:rsidRPr="008F5B5A">
        <w:rPr>
          <w:rFonts w:eastAsia="Aptos"/>
        </w:rPr>
        <w:t>eview. </w:t>
      </w:r>
      <w:r w:rsidRPr="008F5B5A">
        <w:rPr>
          <w:rFonts w:eastAsia="Aptos"/>
          <w:i/>
          <w:iCs/>
        </w:rPr>
        <w:t xml:space="preserve">JMIRx </w:t>
      </w:r>
      <w:r w:rsidR="00311AAD">
        <w:rPr>
          <w:rFonts w:eastAsia="Aptos"/>
          <w:i/>
          <w:iCs/>
        </w:rPr>
        <w:t>M</w:t>
      </w:r>
      <w:r w:rsidRPr="008F5B5A">
        <w:rPr>
          <w:rFonts w:eastAsia="Aptos"/>
          <w:i/>
          <w:iCs/>
        </w:rPr>
        <w:t>ed</w:t>
      </w:r>
      <w:r w:rsidRPr="008F5B5A">
        <w:rPr>
          <w:rFonts w:eastAsia="Aptos"/>
        </w:rPr>
        <w:t>, </w:t>
      </w:r>
      <w:r w:rsidRPr="008F5B5A">
        <w:rPr>
          <w:rFonts w:eastAsia="Aptos"/>
          <w:i/>
          <w:iCs/>
        </w:rPr>
        <w:t>2</w:t>
      </w:r>
      <w:r w:rsidRPr="008F5B5A">
        <w:rPr>
          <w:rFonts w:eastAsia="Aptos"/>
        </w:rPr>
        <w:t>(4), e26993. https://doi.org/10.2196/26993</w:t>
      </w:r>
    </w:p>
    <w:p w14:paraId="540307B1" w14:textId="305ED567" w:rsidR="00CF2D19" w:rsidRPr="008F5B5A" w:rsidRDefault="00CF2D19" w:rsidP="00CF2D19">
      <w:pPr>
        <w:spacing w:line="480" w:lineRule="auto"/>
        <w:ind w:left="720" w:hanging="720"/>
        <w:contextualSpacing/>
        <w:rPr>
          <w:rFonts w:eastAsia="Aptos"/>
        </w:rPr>
      </w:pPr>
      <w:bookmarkStart w:id="27" w:name="_Hlk192679000"/>
      <w:bookmarkEnd w:id="21"/>
      <w:r w:rsidRPr="008F5B5A">
        <w:rPr>
          <w:rFonts w:eastAsia="Aptos"/>
        </w:rPr>
        <w:t xml:space="preserve">Booth, R. G., Strudwick, G., McBride, S., O’Connor, S., &amp; Solano López, A. L. (2021). How the </w:t>
      </w:r>
      <w:r w:rsidR="000C5563">
        <w:rPr>
          <w:rFonts w:eastAsia="Aptos"/>
        </w:rPr>
        <w:t>n</w:t>
      </w:r>
      <w:r w:rsidRPr="008F5B5A">
        <w:rPr>
          <w:rFonts w:eastAsia="Aptos"/>
        </w:rPr>
        <w:t xml:space="preserve">ursing </w:t>
      </w:r>
      <w:r w:rsidR="000C5563">
        <w:rPr>
          <w:rFonts w:eastAsia="Aptos"/>
        </w:rPr>
        <w:t>p</w:t>
      </w:r>
      <w:r w:rsidRPr="008F5B5A">
        <w:rPr>
          <w:rFonts w:eastAsia="Aptos"/>
        </w:rPr>
        <w:t xml:space="preserve">rofession </w:t>
      </w:r>
      <w:r w:rsidR="000C5563">
        <w:rPr>
          <w:rFonts w:eastAsia="Aptos"/>
        </w:rPr>
        <w:t>s</w:t>
      </w:r>
      <w:r w:rsidRPr="008F5B5A">
        <w:rPr>
          <w:rFonts w:eastAsia="Aptos"/>
        </w:rPr>
        <w:t xml:space="preserve">hould </w:t>
      </w:r>
      <w:r w:rsidR="000C5563">
        <w:rPr>
          <w:rFonts w:eastAsia="Aptos"/>
        </w:rPr>
        <w:t>adapt</w:t>
      </w:r>
      <w:r w:rsidRPr="008F5B5A">
        <w:rPr>
          <w:rFonts w:eastAsia="Aptos"/>
        </w:rPr>
        <w:t xml:space="preserve"> for a </w:t>
      </w:r>
      <w:r w:rsidR="000C5563">
        <w:rPr>
          <w:rFonts w:eastAsia="Aptos"/>
        </w:rPr>
        <w:t>d</w:t>
      </w:r>
      <w:r w:rsidRPr="008F5B5A">
        <w:rPr>
          <w:rFonts w:eastAsia="Aptos"/>
        </w:rPr>
        <w:t xml:space="preserve">igital </w:t>
      </w:r>
      <w:r w:rsidR="000C5563">
        <w:rPr>
          <w:rFonts w:eastAsia="Aptos"/>
        </w:rPr>
        <w:t>f</w:t>
      </w:r>
      <w:r w:rsidRPr="008F5B5A">
        <w:rPr>
          <w:rFonts w:eastAsia="Aptos"/>
        </w:rPr>
        <w:t>uture. </w:t>
      </w:r>
      <w:r w:rsidRPr="008F5B5A">
        <w:rPr>
          <w:rFonts w:eastAsia="Aptos"/>
          <w:i/>
          <w:iCs/>
        </w:rPr>
        <w:t>The BMJ</w:t>
      </w:r>
      <w:r w:rsidRPr="008F5B5A">
        <w:rPr>
          <w:rFonts w:eastAsia="Aptos"/>
        </w:rPr>
        <w:t>, </w:t>
      </w:r>
      <w:r w:rsidRPr="008F5B5A">
        <w:rPr>
          <w:rFonts w:eastAsia="Aptos"/>
          <w:i/>
          <w:iCs/>
        </w:rPr>
        <w:t>373</w:t>
      </w:r>
      <w:r w:rsidRPr="008F5B5A">
        <w:rPr>
          <w:rFonts w:eastAsia="Aptos"/>
        </w:rPr>
        <w:t>, n1190. https://doi.org/10.1136/bmj.n1190</w:t>
      </w:r>
    </w:p>
    <w:bookmarkEnd w:id="27"/>
    <w:p w14:paraId="134AF808" w14:textId="1D2CBA57" w:rsidR="00CF2D19" w:rsidRPr="008F02C4" w:rsidRDefault="00CF2D19" w:rsidP="00CF2D19">
      <w:pPr>
        <w:spacing w:line="480" w:lineRule="auto"/>
        <w:ind w:left="720" w:hanging="720"/>
        <w:contextualSpacing/>
        <w:rPr>
          <w:rFonts w:eastAsia="Aptos"/>
          <w:lang w:val="pt-BR"/>
        </w:rPr>
      </w:pPr>
      <w:r w:rsidRPr="008F5B5A">
        <w:rPr>
          <w:rFonts w:eastAsia="Aptos"/>
        </w:rPr>
        <w:t xml:space="preserve">Bottani, E., Bellini, V., Mordonini, M., Pellegrino, M., Lombardo, G., Franchi, B., Craca, M., &amp; Bignami, E. (2023). Internet of </w:t>
      </w:r>
      <w:r w:rsidR="000E58AC">
        <w:rPr>
          <w:rFonts w:eastAsia="Aptos"/>
        </w:rPr>
        <w:t>Things and new technologies for tracking perioperative patients with an innovative operating room scheduling model</w:t>
      </w:r>
      <w:r w:rsidRPr="008F5B5A">
        <w:rPr>
          <w:rFonts w:eastAsia="Aptos"/>
        </w:rPr>
        <w:t>: Protocol for a Development and Feasibility Study. </w:t>
      </w:r>
      <w:r w:rsidRPr="008F02C4">
        <w:rPr>
          <w:rFonts w:eastAsia="Aptos"/>
          <w:i/>
          <w:iCs/>
          <w:lang w:val="pt-BR"/>
        </w:rPr>
        <w:t>JMIR Research Protocols</w:t>
      </w:r>
      <w:r w:rsidRPr="008F02C4">
        <w:rPr>
          <w:rFonts w:eastAsia="Aptos"/>
          <w:lang w:val="pt-BR"/>
        </w:rPr>
        <w:t>, </w:t>
      </w:r>
      <w:r w:rsidRPr="008F02C4">
        <w:rPr>
          <w:rFonts w:eastAsia="Aptos"/>
          <w:i/>
          <w:iCs/>
          <w:lang w:val="pt-BR"/>
        </w:rPr>
        <w:t>12</w:t>
      </w:r>
      <w:r w:rsidRPr="008F02C4">
        <w:rPr>
          <w:rFonts w:eastAsia="Aptos"/>
          <w:lang w:val="pt-BR"/>
        </w:rPr>
        <w:t>, e45477. https://doi.org/10.2196/45477</w:t>
      </w:r>
    </w:p>
    <w:p w14:paraId="3E19FF82" w14:textId="02D61C45" w:rsidR="00CF2D19" w:rsidRPr="008F02C4" w:rsidRDefault="00CF2D19" w:rsidP="00CF2D19">
      <w:pPr>
        <w:spacing w:line="480" w:lineRule="auto"/>
        <w:ind w:left="720" w:hanging="720"/>
        <w:contextualSpacing/>
        <w:rPr>
          <w:rFonts w:eastAsia="Aptos"/>
          <w:lang w:val="pt-BR"/>
        </w:rPr>
      </w:pPr>
      <w:r w:rsidRPr="008F02C4">
        <w:rPr>
          <w:rFonts w:eastAsia="Aptos"/>
          <w:lang w:val="pt-BR"/>
        </w:rPr>
        <w:lastRenderedPageBreak/>
        <w:t xml:space="preserve">Buh, A., Deonandan, R., Gomes, J., Krentel, A., Oladimeji, O., &amp; Yaya, S. (2023). </w:t>
      </w:r>
      <w:r w:rsidRPr="008F5B5A">
        <w:rPr>
          <w:rFonts w:eastAsia="Aptos"/>
        </w:rPr>
        <w:t xml:space="preserve">Prevalence and </w:t>
      </w:r>
      <w:r w:rsidR="000E58AC">
        <w:rPr>
          <w:rFonts w:eastAsia="Aptos"/>
        </w:rPr>
        <w:t>f</w:t>
      </w:r>
      <w:r w:rsidRPr="008F5B5A">
        <w:rPr>
          <w:rFonts w:eastAsia="Aptos"/>
        </w:rPr>
        <w:t xml:space="preserve">actors </w:t>
      </w:r>
      <w:r w:rsidR="000E58AC">
        <w:rPr>
          <w:rFonts w:eastAsia="Aptos"/>
        </w:rPr>
        <w:t>a</w:t>
      </w:r>
      <w:r w:rsidRPr="008F5B5A">
        <w:rPr>
          <w:rFonts w:eastAsia="Aptos"/>
        </w:rPr>
        <w:t xml:space="preserve">ssociated with HIV </w:t>
      </w:r>
      <w:r w:rsidR="000E58AC">
        <w:rPr>
          <w:rFonts w:eastAsia="Aptos"/>
        </w:rPr>
        <w:t>t</w:t>
      </w:r>
      <w:r w:rsidRPr="008F5B5A">
        <w:rPr>
          <w:rFonts w:eastAsia="Aptos"/>
        </w:rPr>
        <w:t xml:space="preserve">reatment </w:t>
      </w:r>
      <w:r w:rsidR="000E58AC">
        <w:rPr>
          <w:rFonts w:eastAsia="Aptos"/>
        </w:rPr>
        <w:t>n</w:t>
      </w:r>
      <w:r w:rsidRPr="008F5B5A">
        <w:rPr>
          <w:rFonts w:eastAsia="Aptos"/>
        </w:rPr>
        <w:t xml:space="preserve">on-adherence among </w:t>
      </w:r>
      <w:r w:rsidR="000E58AC">
        <w:rPr>
          <w:rFonts w:eastAsia="Aptos"/>
        </w:rPr>
        <w:t>p</w:t>
      </w:r>
      <w:r w:rsidRPr="008F5B5A">
        <w:rPr>
          <w:rFonts w:eastAsia="Aptos"/>
        </w:rPr>
        <w:t xml:space="preserve">eople </w:t>
      </w:r>
      <w:r w:rsidR="000E58AC">
        <w:rPr>
          <w:rFonts w:eastAsia="Aptos"/>
        </w:rPr>
        <w:t>l</w:t>
      </w:r>
      <w:r w:rsidRPr="008F5B5A">
        <w:rPr>
          <w:rFonts w:eastAsia="Aptos"/>
        </w:rPr>
        <w:t xml:space="preserve">iving with HIV in Three Regions of Cameroon: </w:t>
      </w:r>
      <w:r w:rsidR="009D1DD7">
        <w:rPr>
          <w:rFonts w:eastAsia="Aptos"/>
        </w:rPr>
        <w:t>A</w:t>
      </w:r>
      <w:r w:rsidRPr="008F5B5A">
        <w:rPr>
          <w:rFonts w:eastAsia="Aptos"/>
        </w:rPr>
        <w:t xml:space="preserve"> </w:t>
      </w:r>
      <w:r w:rsidR="009D1DD7">
        <w:rPr>
          <w:rFonts w:eastAsia="Aptos"/>
        </w:rPr>
        <w:t>c</w:t>
      </w:r>
      <w:r w:rsidRPr="008F5B5A">
        <w:rPr>
          <w:rFonts w:eastAsia="Aptos"/>
        </w:rPr>
        <w:t xml:space="preserve">ross-sectional </w:t>
      </w:r>
      <w:r w:rsidR="009D1DD7">
        <w:rPr>
          <w:rFonts w:eastAsia="Aptos"/>
        </w:rPr>
        <w:t>s</w:t>
      </w:r>
      <w:r w:rsidRPr="008F5B5A">
        <w:rPr>
          <w:rFonts w:eastAsia="Aptos"/>
        </w:rPr>
        <w:t>tudy. </w:t>
      </w:r>
      <w:r w:rsidRPr="008F02C4">
        <w:rPr>
          <w:rFonts w:eastAsia="Aptos"/>
          <w:i/>
          <w:iCs/>
          <w:lang w:val="pt-BR"/>
        </w:rPr>
        <w:t>PLoS One</w:t>
      </w:r>
      <w:r w:rsidRPr="008F02C4">
        <w:rPr>
          <w:rFonts w:eastAsia="Aptos"/>
          <w:lang w:val="pt-BR"/>
        </w:rPr>
        <w:t>, </w:t>
      </w:r>
      <w:r w:rsidRPr="008F02C4">
        <w:rPr>
          <w:rFonts w:eastAsia="Aptos"/>
          <w:i/>
          <w:iCs/>
          <w:lang w:val="pt-BR"/>
        </w:rPr>
        <w:t>18</w:t>
      </w:r>
      <w:r w:rsidRPr="008F02C4">
        <w:rPr>
          <w:rFonts w:eastAsia="Aptos"/>
          <w:lang w:val="pt-BR"/>
        </w:rPr>
        <w:t>(4), e0283991. https://doi.org/10.1371/journal.pone.0283991</w:t>
      </w:r>
    </w:p>
    <w:bookmarkEnd w:id="22"/>
    <w:p w14:paraId="066BE556" w14:textId="3E60EEF5" w:rsidR="00CF2D19" w:rsidRPr="008F5B5A" w:rsidRDefault="00CF2D19" w:rsidP="00CF2D19">
      <w:pPr>
        <w:spacing w:line="480" w:lineRule="auto"/>
        <w:ind w:left="720" w:hanging="720"/>
        <w:contextualSpacing/>
        <w:rPr>
          <w:rFonts w:eastAsia="Aptos"/>
        </w:rPr>
      </w:pPr>
      <w:r w:rsidRPr="008F02C4">
        <w:rPr>
          <w:rFonts w:eastAsia="Aptos"/>
          <w:lang w:val="pt-BR"/>
        </w:rPr>
        <w:t xml:space="preserve">Bui, H. T., &amp; Galanou, E. (2022). </w:t>
      </w:r>
      <w:r w:rsidRPr="008F5B5A">
        <w:rPr>
          <w:rFonts w:eastAsia="Aptos"/>
        </w:rPr>
        <w:t xml:space="preserve">Translation of </w:t>
      </w:r>
      <w:r w:rsidR="000E58AC">
        <w:rPr>
          <w:rFonts w:eastAsia="Aptos"/>
        </w:rPr>
        <w:t>s</w:t>
      </w:r>
      <w:r w:rsidRPr="008F5B5A">
        <w:rPr>
          <w:rFonts w:eastAsia="Aptos"/>
        </w:rPr>
        <w:t xml:space="preserve">ystems </w:t>
      </w:r>
      <w:r w:rsidR="000E58AC">
        <w:rPr>
          <w:rFonts w:eastAsia="Aptos"/>
        </w:rPr>
        <w:t>t</w:t>
      </w:r>
      <w:r w:rsidRPr="008F5B5A">
        <w:rPr>
          <w:rFonts w:eastAsia="Aptos"/>
        </w:rPr>
        <w:t xml:space="preserve">hinking to </w:t>
      </w:r>
      <w:r w:rsidR="000E58AC">
        <w:rPr>
          <w:rFonts w:eastAsia="Aptos"/>
        </w:rPr>
        <w:t>o</w:t>
      </w:r>
      <w:r w:rsidRPr="008F5B5A">
        <w:rPr>
          <w:rFonts w:eastAsia="Aptos"/>
        </w:rPr>
        <w:t xml:space="preserve">rganizational </w:t>
      </w:r>
      <w:r w:rsidR="00682434">
        <w:rPr>
          <w:rFonts w:eastAsia="Aptos"/>
        </w:rPr>
        <w:t>g</w:t>
      </w:r>
      <w:r w:rsidRPr="008F5B5A">
        <w:rPr>
          <w:rFonts w:eastAsia="Aptos"/>
        </w:rPr>
        <w:t xml:space="preserve">oals: A </w:t>
      </w:r>
      <w:r w:rsidR="00682434">
        <w:rPr>
          <w:rFonts w:eastAsia="Aptos"/>
        </w:rPr>
        <w:t>s</w:t>
      </w:r>
      <w:r w:rsidRPr="008F5B5A">
        <w:rPr>
          <w:rFonts w:eastAsia="Aptos"/>
        </w:rPr>
        <w:t xml:space="preserve">ystematic </w:t>
      </w:r>
      <w:r w:rsidR="00682434">
        <w:rPr>
          <w:rFonts w:eastAsia="Aptos"/>
        </w:rPr>
        <w:t>r</w:t>
      </w:r>
      <w:r w:rsidRPr="008F5B5A">
        <w:rPr>
          <w:rFonts w:eastAsia="Aptos"/>
        </w:rPr>
        <w:t>eview. </w:t>
      </w:r>
      <w:r w:rsidRPr="008F5B5A">
        <w:rPr>
          <w:rFonts w:eastAsia="Aptos"/>
          <w:i/>
          <w:iCs/>
        </w:rPr>
        <w:t>Journal of General Management</w:t>
      </w:r>
      <w:r w:rsidRPr="008F5B5A">
        <w:rPr>
          <w:rFonts w:eastAsia="Aptos"/>
        </w:rPr>
        <w:t>, </w:t>
      </w:r>
      <w:r w:rsidRPr="008F5B5A">
        <w:rPr>
          <w:rFonts w:eastAsia="Aptos"/>
          <w:i/>
          <w:iCs/>
        </w:rPr>
        <w:t>47</w:t>
      </w:r>
      <w:r w:rsidRPr="008F5B5A">
        <w:rPr>
          <w:rFonts w:eastAsia="Aptos"/>
        </w:rPr>
        <w:t>(4), 233</w:t>
      </w:r>
      <w:r>
        <w:rPr>
          <w:rFonts w:eastAsia="Aptos"/>
        </w:rPr>
        <w:t>–</w:t>
      </w:r>
      <w:r w:rsidRPr="008F5B5A">
        <w:rPr>
          <w:rFonts w:eastAsia="Aptos"/>
        </w:rPr>
        <w:t>245. https://doi.org/10.1177/03063070211035749</w:t>
      </w:r>
    </w:p>
    <w:bookmarkEnd w:id="23"/>
    <w:p w14:paraId="7449D62D" w14:textId="0D3D55C3" w:rsidR="00CF2D19" w:rsidRPr="008F5B5A" w:rsidRDefault="00CF2D19" w:rsidP="00CF2D19">
      <w:pPr>
        <w:spacing w:line="480" w:lineRule="auto"/>
        <w:ind w:left="720" w:hanging="720"/>
        <w:contextualSpacing/>
        <w:rPr>
          <w:rFonts w:eastAsia="Aptos"/>
        </w:rPr>
      </w:pPr>
      <w:r w:rsidRPr="008F5B5A">
        <w:rPr>
          <w:rFonts w:eastAsia="Aptos"/>
        </w:rPr>
        <w:t xml:space="preserve">Cabrera, D., &amp; Cabrera, L. (2022). DSRP </w:t>
      </w:r>
      <w:r w:rsidR="009D1DD7">
        <w:rPr>
          <w:rFonts w:eastAsia="Aptos"/>
        </w:rPr>
        <w:t>t</w:t>
      </w:r>
      <w:r w:rsidRPr="008F5B5A">
        <w:rPr>
          <w:rFonts w:eastAsia="Aptos"/>
        </w:rPr>
        <w:t xml:space="preserve">heory: A </w:t>
      </w:r>
      <w:r w:rsidR="009D1DD7">
        <w:rPr>
          <w:rFonts w:eastAsia="Aptos"/>
        </w:rPr>
        <w:t>p</w:t>
      </w:r>
      <w:r w:rsidRPr="008F5B5A">
        <w:rPr>
          <w:rFonts w:eastAsia="Aptos"/>
        </w:rPr>
        <w:t>rimer. </w:t>
      </w:r>
      <w:r w:rsidRPr="008F5B5A">
        <w:rPr>
          <w:rFonts w:eastAsia="Aptos"/>
          <w:i/>
          <w:iCs/>
        </w:rPr>
        <w:t>Systems</w:t>
      </w:r>
      <w:r w:rsidRPr="008F5B5A">
        <w:rPr>
          <w:rFonts w:eastAsia="Aptos"/>
        </w:rPr>
        <w:t>, </w:t>
      </w:r>
      <w:r w:rsidRPr="008F5B5A">
        <w:rPr>
          <w:rFonts w:eastAsia="Aptos"/>
          <w:i/>
          <w:iCs/>
        </w:rPr>
        <w:t>10</w:t>
      </w:r>
      <w:r w:rsidRPr="008F5B5A">
        <w:rPr>
          <w:rFonts w:eastAsia="Aptos"/>
        </w:rPr>
        <w:t>(2), 26. https://doi.org/10.3390/systems10020026</w:t>
      </w:r>
    </w:p>
    <w:p w14:paraId="4FAA768E" w14:textId="477BC3D0" w:rsidR="00CF2D19" w:rsidRPr="008F5B5A" w:rsidRDefault="00CF2D19" w:rsidP="00CF2D19">
      <w:pPr>
        <w:spacing w:line="480" w:lineRule="auto"/>
        <w:ind w:left="720" w:hanging="720"/>
        <w:contextualSpacing/>
        <w:rPr>
          <w:rFonts w:eastAsia="Aptos"/>
        </w:rPr>
      </w:pPr>
      <w:bookmarkStart w:id="28" w:name="_Hlk193019391"/>
      <w:r w:rsidRPr="008F5B5A">
        <w:rPr>
          <w:rFonts w:eastAsia="Aptos"/>
        </w:rPr>
        <w:t>Cabrera, D., &amp; Cabrera</w:t>
      </w:r>
      <w:bookmarkEnd w:id="28"/>
      <w:r w:rsidRPr="008F5B5A">
        <w:rPr>
          <w:rFonts w:eastAsia="Aptos"/>
        </w:rPr>
        <w:t xml:space="preserve">, L. (2023). What is </w:t>
      </w:r>
      <w:r w:rsidR="00682434">
        <w:rPr>
          <w:rFonts w:eastAsia="Aptos"/>
        </w:rPr>
        <w:t>s</w:t>
      </w:r>
      <w:r w:rsidRPr="008F5B5A">
        <w:rPr>
          <w:rFonts w:eastAsia="Aptos"/>
        </w:rPr>
        <w:t xml:space="preserve">ystems </w:t>
      </w:r>
      <w:r w:rsidR="00682434">
        <w:rPr>
          <w:rFonts w:eastAsia="Aptos"/>
        </w:rPr>
        <w:t>t</w:t>
      </w:r>
      <w:r w:rsidRPr="008F5B5A">
        <w:rPr>
          <w:rFonts w:eastAsia="Aptos"/>
        </w:rPr>
        <w:t>hinking? In </w:t>
      </w:r>
      <w:r w:rsidR="00BA5BEF">
        <w:rPr>
          <w:rFonts w:eastAsia="Aptos"/>
          <w:i/>
          <w:iCs/>
        </w:rPr>
        <w:t>l</w:t>
      </w:r>
      <w:r w:rsidRPr="008F5B5A">
        <w:rPr>
          <w:rFonts w:eastAsia="Aptos"/>
          <w:i/>
          <w:iCs/>
        </w:rPr>
        <w:t xml:space="preserve">earning, </w:t>
      </w:r>
      <w:r w:rsidR="00BA5BEF">
        <w:rPr>
          <w:rFonts w:eastAsia="Aptos"/>
          <w:i/>
          <w:iCs/>
        </w:rPr>
        <w:t>d</w:t>
      </w:r>
      <w:r w:rsidRPr="008F5B5A">
        <w:rPr>
          <w:rFonts w:eastAsia="Aptos"/>
          <w:i/>
          <w:iCs/>
        </w:rPr>
        <w:t xml:space="preserve">esign, and </w:t>
      </w:r>
      <w:r w:rsidR="00BA5BEF">
        <w:rPr>
          <w:rFonts w:eastAsia="Aptos"/>
          <w:i/>
          <w:iCs/>
        </w:rPr>
        <w:t>t</w:t>
      </w:r>
      <w:r w:rsidRPr="008F5B5A">
        <w:rPr>
          <w:rFonts w:eastAsia="Aptos"/>
          <w:i/>
          <w:iCs/>
        </w:rPr>
        <w:t xml:space="preserve">echnology: An </w:t>
      </w:r>
      <w:r w:rsidR="00BA5BEF">
        <w:rPr>
          <w:rFonts w:eastAsia="Aptos"/>
          <w:i/>
          <w:iCs/>
        </w:rPr>
        <w:t>i</w:t>
      </w:r>
      <w:r w:rsidRPr="008F5B5A">
        <w:rPr>
          <w:rFonts w:eastAsia="Aptos"/>
          <w:i/>
          <w:iCs/>
        </w:rPr>
        <w:t xml:space="preserve">nternational </w:t>
      </w:r>
      <w:r w:rsidR="00BA5BEF">
        <w:rPr>
          <w:rFonts w:eastAsia="Aptos"/>
          <w:i/>
          <w:iCs/>
        </w:rPr>
        <w:t>c</w:t>
      </w:r>
      <w:r w:rsidRPr="008F5B5A">
        <w:rPr>
          <w:rFonts w:eastAsia="Aptos"/>
          <w:i/>
          <w:iCs/>
        </w:rPr>
        <w:t xml:space="preserve">ompendium of </w:t>
      </w:r>
      <w:r w:rsidR="00BA5BEF">
        <w:rPr>
          <w:rFonts w:eastAsia="Aptos"/>
          <w:i/>
          <w:iCs/>
        </w:rPr>
        <w:t>t</w:t>
      </w:r>
      <w:r w:rsidRPr="008F5B5A">
        <w:rPr>
          <w:rFonts w:eastAsia="Aptos"/>
          <w:i/>
          <w:iCs/>
        </w:rPr>
        <w:t xml:space="preserve">heory, </w:t>
      </w:r>
      <w:r w:rsidR="00BA5BEF">
        <w:rPr>
          <w:rFonts w:eastAsia="Aptos"/>
          <w:i/>
          <w:iCs/>
        </w:rPr>
        <w:t>r</w:t>
      </w:r>
      <w:r w:rsidRPr="008F5B5A">
        <w:rPr>
          <w:rFonts w:eastAsia="Aptos"/>
          <w:i/>
          <w:iCs/>
        </w:rPr>
        <w:t xml:space="preserve">esearch, </w:t>
      </w:r>
      <w:r w:rsidR="00BA5BEF">
        <w:rPr>
          <w:rFonts w:eastAsia="Aptos"/>
          <w:i/>
          <w:iCs/>
        </w:rPr>
        <w:t>p</w:t>
      </w:r>
      <w:r w:rsidRPr="008F5B5A">
        <w:rPr>
          <w:rFonts w:eastAsia="Aptos"/>
          <w:i/>
          <w:iCs/>
        </w:rPr>
        <w:t xml:space="preserve">ractice, and </w:t>
      </w:r>
      <w:r w:rsidR="00BA5BEF">
        <w:rPr>
          <w:rFonts w:eastAsia="Aptos"/>
          <w:i/>
          <w:iCs/>
        </w:rPr>
        <w:t>p</w:t>
      </w:r>
      <w:r w:rsidRPr="008F5B5A">
        <w:rPr>
          <w:rFonts w:eastAsia="Aptos"/>
          <w:i/>
          <w:iCs/>
        </w:rPr>
        <w:t>olicy</w:t>
      </w:r>
      <w:r w:rsidRPr="008F5B5A">
        <w:rPr>
          <w:rFonts w:eastAsia="Aptos"/>
        </w:rPr>
        <w:t> (pp. 1495</w:t>
      </w:r>
      <w:r>
        <w:rPr>
          <w:rFonts w:eastAsia="Aptos"/>
        </w:rPr>
        <w:t>–</w:t>
      </w:r>
      <w:r w:rsidRPr="008F5B5A">
        <w:rPr>
          <w:rFonts w:eastAsia="Aptos"/>
        </w:rPr>
        <w:t>1522). Cham: Springer International Publishing.</w:t>
      </w:r>
      <w:bookmarkEnd w:id="16"/>
    </w:p>
    <w:p w14:paraId="59930950" w14:textId="7DC4FDD2" w:rsidR="00CF2D19" w:rsidRPr="008F5B5A" w:rsidRDefault="00CF2D19" w:rsidP="00CF2D19">
      <w:pPr>
        <w:spacing w:line="480" w:lineRule="auto"/>
        <w:ind w:left="720" w:hanging="720"/>
        <w:contextualSpacing/>
        <w:rPr>
          <w:rFonts w:eastAsia="Aptos"/>
        </w:rPr>
      </w:pPr>
      <w:bookmarkStart w:id="29" w:name="_Hlk192521930"/>
      <w:bookmarkStart w:id="30" w:name="_Hlk192521526"/>
      <w:bookmarkStart w:id="31" w:name="_Hlk192520673"/>
      <w:r w:rsidRPr="008F5B5A">
        <w:rPr>
          <w:rFonts w:eastAsia="Aptos"/>
        </w:rPr>
        <w:t xml:space="preserve">Cady, P. (2021). Applied </w:t>
      </w:r>
      <w:r w:rsidR="00BA5BEF">
        <w:rPr>
          <w:rFonts w:eastAsia="Aptos"/>
        </w:rPr>
        <w:t>s</w:t>
      </w:r>
      <w:r w:rsidRPr="008F5B5A">
        <w:rPr>
          <w:rFonts w:eastAsia="Aptos"/>
        </w:rPr>
        <w:t xml:space="preserve">ystems </w:t>
      </w:r>
      <w:r w:rsidR="007876D8">
        <w:rPr>
          <w:rFonts w:eastAsia="Aptos"/>
        </w:rPr>
        <w:t>t</w:t>
      </w:r>
      <w:r w:rsidRPr="008F5B5A">
        <w:rPr>
          <w:rFonts w:eastAsia="Aptos"/>
        </w:rPr>
        <w:t xml:space="preserve">hinking: The </w:t>
      </w:r>
      <w:r w:rsidR="007876D8">
        <w:rPr>
          <w:rFonts w:eastAsia="Aptos"/>
        </w:rPr>
        <w:t>i</w:t>
      </w:r>
      <w:r w:rsidRPr="008F5B5A">
        <w:rPr>
          <w:rFonts w:eastAsia="Aptos"/>
        </w:rPr>
        <w:t xml:space="preserve">mpact of </w:t>
      </w:r>
      <w:r w:rsidR="007876D8">
        <w:rPr>
          <w:rFonts w:eastAsia="Aptos"/>
        </w:rPr>
        <w:t>s</w:t>
      </w:r>
      <w:r w:rsidRPr="008F5B5A">
        <w:rPr>
          <w:rFonts w:eastAsia="Aptos"/>
        </w:rPr>
        <w:t xml:space="preserve">ystem </w:t>
      </w:r>
      <w:r w:rsidR="007876D8">
        <w:rPr>
          <w:rFonts w:eastAsia="Aptos"/>
        </w:rPr>
        <w:t>o</w:t>
      </w:r>
      <w:r w:rsidRPr="008F5B5A">
        <w:rPr>
          <w:rFonts w:eastAsia="Aptos"/>
        </w:rPr>
        <w:t xml:space="preserve">ptimization </w:t>
      </w:r>
      <w:r w:rsidR="007876D8">
        <w:rPr>
          <w:rFonts w:eastAsia="Aptos"/>
        </w:rPr>
        <w:t>s</w:t>
      </w:r>
      <w:r w:rsidRPr="008F5B5A">
        <w:rPr>
          <w:rFonts w:eastAsia="Aptos"/>
        </w:rPr>
        <w:t xml:space="preserve">trategies on </w:t>
      </w:r>
      <w:r w:rsidR="007876D8">
        <w:rPr>
          <w:rFonts w:eastAsia="Aptos"/>
        </w:rPr>
        <w:t>f</w:t>
      </w:r>
      <w:r w:rsidRPr="008F5B5A">
        <w:rPr>
          <w:rFonts w:eastAsia="Aptos"/>
        </w:rPr>
        <w:t xml:space="preserve">inancial and </w:t>
      </w:r>
      <w:r w:rsidR="007876D8">
        <w:rPr>
          <w:rFonts w:eastAsia="Aptos"/>
        </w:rPr>
        <w:t>q</w:t>
      </w:r>
      <w:r w:rsidRPr="008F5B5A">
        <w:rPr>
          <w:rFonts w:eastAsia="Aptos"/>
        </w:rPr>
        <w:t xml:space="preserve">uality </w:t>
      </w:r>
      <w:r w:rsidR="005854C7">
        <w:rPr>
          <w:rFonts w:eastAsia="Aptos"/>
        </w:rPr>
        <w:t>per</w:t>
      </w:r>
      <w:r w:rsidRPr="008F5B5A">
        <w:rPr>
          <w:rFonts w:eastAsia="Aptos"/>
        </w:rPr>
        <w:t xml:space="preserve">formance in a </w:t>
      </w:r>
      <w:r w:rsidR="005854C7">
        <w:rPr>
          <w:rFonts w:eastAsia="Aptos"/>
        </w:rPr>
        <w:t>t</w:t>
      </w:r>
      <w:r w:rsidRPr="008F5B5A">
        <w:rPr>
          <w:rFonts w:eastAsia="Aptos"/>
        </w:rPr>
        <w:t>eam-</w:t>
      </w:r>
      <w:r w:rsidR="005854C7">
        <w:rPr>
          <w:rFonts w:eastAsia="Aptos"/>
        </w:rPr>
        <w:t>b</w:t>
      </w:r>
      <w:r w:rsidRPr="008F5B5A">
        <w:rPr>
          <w:rFonts w:eastAsia="Aptos"/>
        </w:rPr>
        <w:t xml:space="preserve">ased </w:t>
      </w:r>
      <w:r w:rsidR="005854C7">
        <w:rPr>
          <w:rFonts w:eastAsia="Aptos"/>
        </w:rPr>
        <w:t>s</w:t>
      </w:r>
      <w:r w:rsidRPr="008F5B5A">
        <w:rPr>
          <w:rFonts w:eastAsia="Aptos"/>
        </w:rPr>
        <w:t>imulation. </w:t>
      </w:r>
      <w:r w:rsidRPr="008F5B5A">
        <w:rPr>
          <w:rFonts w:eastAsia="Aptos"/>
          <w:i/>
          <w:iCs/>
        </w:rPr>
        <w:t>Healthcare Management Forum,</w:t>
      </w:r>
      <w:r w:rsidRPr="008F5B5A">
        <w:rPr>
          <w:rFonts w:eastAsia="Aptos"/>
        </w:rPr>
        <w:t xml:space="preserve"> </w:t>
      </w:r>
      <w:r w:rsidRPr="00927849">
        <w:rPr>
          <w:rFonts w:eastAsia="Aptos"/>
          <w:i/>
          <w:iCs/>
        </w:rPr>
        <w:t>34</w:t>
      </w:r>
      <w:r w:rsidRPr="008F5B5A">
        <w:rPr>
          <w:rFonts w:eastAsia="Aptos"/>
        </w:rPr>
        <w:t>(1), 29</w:t>
      </w:r>
      <w:r>
        <w:rPr>
          <w:rFonts w:eastAsia="Aptos"/>
        </w:rPr>
        <w:t>–</w:t>
      </w:r>
      <w:r w:rsidRPr="008F5B5A">
        <w:rPr>
          <w:rFonts w:eastAsia="Aptos"/>
        </w:rPr>
        <w:t>33. https://doi.org/10.1177/0840470420950378</w:t>
      </w:r>
    </w:p>
    <w:p w14:paraId="78D93932" w14:textId="2F23F857" w:rsidR="00CF2D19" w:rsidRPr="008F5B5A" w:rsidRDefault="00CF2D19" w:rsidP="00CF2D19">
      <w:pPr>
        <w:spacing w:line="480" w:lineRule="auto"/>
        <w:ind w:left="720" w:hanging="720"/>
        <w:contextualSpacing/>
        <w:rPr>
          <w:rFonts w:eastAsia="Aptos"/>
        </w:rPr>
      </w:pPr>
      <w:bookmarkStart w:id="32" w:name="_Hlk192676645"/>
      <w:bookmarkStart w:id="33" w:name="_Hlk192522936"/>
      <w:bookmarkEnd w:id="29"/>
      <w:r w:rsidRPr="008F5B5A">
        <w:rPr>
          <w:rFonts w:eastAsia="Aptos"/>
        </w:rPr>
        <w:t xml:space="preserve">Cahaya, N., Kristina, S. A., Widayanti, A. W., &amp; Green, J. (2022). Interventions to </w:t>
      </w:r>
      <w:r w:rsidR="005854C7">
        <w:rPr>
          <w:rFonts w:eastAsia="Aptos"/>
        </w:rPr>
        <w:t>i</w:t>
      </w:r>
      <w:r w:rsidRPr="008F5B5A">
        <w:rPr>
          <w:rFonts w:eastAsia="Aptos"/>
        </w:rPr>
        <w:t xml:space="preserve">mprove </w:t>
      </w:r>
      <w:r w:rsidR="005854C7">
        <w:rPr>
          <w:rFonts w:eastAsia="Aptos"/>
        </w:rPr>
        <w:t>m</w:t>
      </w:r>
      <w:r w:rsidRPr="008F5B5A">
        <w:rPr>
          <w:rFonts w:eastAsia="Aptos"/>
        </w:rPr>
        <w:t xml:space="preserve">edication </w:t>
      </w:r>
      <w:r w:rsidR="005854C7">
        <w:rPr>
          <w:rFonts w:eastAsia="Aptos"/>
        </w:rPr>
        <w:t>a</w:t>
      </w:r>
      <w:r w:rsidRPr="008F5B5A">
        <w:rPr>
          <w:rFonts w:eastAsia="Aptos"/>
        </w:rPr>
        <w:t xml:space="preserve">dherence in </w:t>
      </w:r>
      <w:r w:rsidR="005854C7">
        <w:rPr>
          <w:rFonts w:eastAsia="Aptos"/>
        </w:rPr>
        <w:t>p</w:t>
      </w:r>
      <w:r w:rsidRPr="008F5B5A">
        <w:rPr>
          <w:rFonts w:eastAsia="Aptos"/>
        </w:rPr>
        <w:t xml:space="preserve">eople with </w:t>
      </w:r>
      <w:r w:rsidR="005854C7">
        <w:rPr>
          <w:rFonts w:eastAsia="Aptos"/>
        </w:rPr>
        <w:t>s</w:t>
      </w:r>
      <w:r w:rsidRPr="008F5B5A">
        <w:rPr>
          <w:rFonts w:eastAsia="Aptos"/>
        </w:rPr>
        <w:t>chizophrenia: A Systematic Review. </w:t>
      </w:r>
      <w:r w:rsidRPr="008F5B5A">
        <w:rPr>
          <w:rFonts w:eastAsia="Aptos"/>
          <w:i/>
          <w:iCs/>
        </w:rPr>
        <w:t>Patient Preference and Adherence</w:t>
      </w:r>
      <w:r w:rsidRPr="008F5B5A">
        <w:rPr>
          <w:rFonts w:eastAsia="Aptos"/>
        </w:rPr>
        <w:t>, 2431</w:t>
      </w:r>
      <w:r>
        <w:rPr>
          <w:rFonts w:eastAsia="Aptos"/>
        </w:rPr>
        <w:t>–</w:t>
      </w:r>
      <w:r w:rsidRPr="008F5B5A">
        <w:rPr>
          <w:rFonts w:eastAsia="Aptos"/>
        </w:rPr>
        <w:t>2449. https://doi.org/10.2147/PPA.S378951</w:t>
      </w:r>
    </w:p>
    <w:bookmarkEnd w:id="32"/>
    <w:bookmarkEnd w:id="33"/>
    <w:p w14:paraId="40742C06" w14:textId="323B63FC" w:rsidR="00CF2D19" w:rsidRDefault="00CF2D19" w:rsidP="00CF2D19">
      <w:pPr>
        <w:spacing w:line="480" w:lineRule="auto"/>
        <w:ind w:left="720" w:hanging="720"/>
        <w:contextualSpacing/>
        <w:rPr>
          <w:rFonts w:eastAsia="Aptos"/>
        </w:rPr>
      </w:pPr>
      <w:r w:rsidRPr="008F5B5A">
        <w:rPr>
          <w:rFonts w:eastAsia="Aptos"/>
        </w:rPr>
        <w:t xml:space="preserve">Chapman, S., Frostholm, L., Chalder, T., Graham, C., de Thurah, A., van Leeuwen, T., Pedersen, M. M., Carstensen, T., &amp; Weinman, J. (2024). Preventing </w:t>
      </w:r>
      <w:r w:rsidR="005854C7">
        <w:rPr>
          <w:rFonts w:eastAsia="Aptos"/>
        </w:rPr>
        <w:t>m</w:t>
      </w:r>
      <w:r w:rsidRPr="008F5B5A">
        <w:rPr>
          <w:rFonts w:eastAsia="Aptos"/>
        </w:rPr>
        <w:t xml:space="preserve">edication </w:t>
      </w:r>
      <w:r w:rsidR="005854C7">
        <w:rPr>
          <w:rFonts w:eastAsia="Aptos"/>
        </w:rPr>
        <w:t>n</w:t>
      </w:r>
      <w:r w:rsidRPr="008F5B5A">
        <w:rPr>
          <w:rFonts w:eastAsia="Aptos"/>
        </w:rPr>
        <w:t xml:space="preserve">onadherence: A </w:t>
      </w:r>
      <w:r w:rsidR="005854C7">
        <w:rPr>
          <w:rFonts w:eastAsia="Aptos"/>
        </w:rPr>
        <w:t>f</w:t>
      </w:r>
      <w:r w:rsidRPr="008F5B5A">
        <w:rPr>
          <w:rFonts w:eastAsia="Aptos"/>
        </w:rPr>
        <w:t xml:space="preserve">ramework for </w:t>
      </w:r>
      <w:r w:rsidR="005854C7">
        <w:rPr>
          <w:rFonts w:eastAsia="Aptos"/>
        </w:rPr>
        <w:t>i</w:t>
      </w:r>
      <w:r w:rsidRPr="008F5B5A">
        <w:rPr>
          <w:rFonts w:eastAsia="Aptos"/>
        </w:rPr>
        <w:t xml:space="preserve">nterventions to </w:t>
      </w:r>
      <w:r w:rsidR="005854C7">
        <w:rPr>
          <w:rFonts w:eastAsia="Aptos"/>
        </w:rPr>
        <w:t>s</w:t>
      </w:r>
      <w:r w:rsidRPr="008F5B5A">
        <w:rPr>
          <w:rFonts w:eastAsia="Aptos"/>
        </w:rPr>
        <w:t xml:space="preserve">upport </w:t>
      </w:r>
      <w:r w:rsidR="005854C7">
        <w:rPr>
          <w:rFonts w:eastAsia="Aptos"/>
        </w:rPr>
        <w:t>e</w:t>
      </w:r>
      <w:r w:rsidRPr="008F5B5A">
        <w:rPr>
          <w:rFonts w:eastAsia="Aptos"/>
        </w:rPr>
        <w:t xml:space="preserve">arly </w:t>
      </w:r>
      <w:r w:rsidR="005854C7">
        <w:rPr>
          <w:rFonts w:eastAsia="Aptos"/>
        </w:rPr>
        <w:t>e</w:t>
      </w:r>
      <w:r w:rsidRPr="008F5B5A">
        <w:rPr>
          <w:rFonts w:eastAsia="Aptos"/>
        </w:rPr>
        <w:t xml:space="preserve">ngagement with </w:t>
      </w:r>
      <w:r w:rsidR="005854C7">
        <w:rPr>
          <w:rFonts w:eastAsia="Aptos"/>
        </w:rPr>
        <w:lastRenderedPageBreak/>
        <w:t>t</w:t>
      </w:r>
      <w:r w:rsidRPr="008F5B5A">
        <w:rPr>
          <w:rFonts w:eastAsia="Aptos"/>
        </w:rPr>
        <w:t>reatment. </w:t>
      </w:r>
      <w:r w:rsidRPr="008F5B5A">
        <w:rPr>
          <w:rFonts w:eastAsia="Aptos"/>
          <w:i/>
          <w:iCs/>
        </w:rPr>
        <w:t>Health Psychology Review</w:t>
      </w:r>
      <w:r w:rsidRPr="008F5B5A">
        <w:rPr>
          <w:rFonts w:eastAsia="Aptos"/>
        </w:rPr>
        <w:t>, </w:t>
      </w:r>
      <w:r w:rsidRPr="008F5B5A">
        <w:rPr>
          <w:rFonts w:eastAsia="Aptos"/>
          <w:i/>
          <w:iCs/>
        </w:rPr>
        <w:t>18</w:t>
      </w:r>
      <w:r w:rsidRPr="008F5B5A">
        <w:rPr>
          <w:rFonts w:eastAsia="Aptos"/>
        </w:rPr>
        <w:t xml:space="preserve">(4), 884–898. </w:t>
      </w:r>
      <w:hyperlink r:id="rId17" w:history="1">
        <w:r w:rsidR="00146012" w:rsidRPr="00C32E75">
          <w:rPr>
            <w:rStyle w:val="Hyperlink"/>
            <w:rFonts w:eastAsia="Aptos"/>
          </w:rPr>
          <w:t>https://doi.org/10.1080/17437199.2024.2385525</w:t>
        </w:r>
      </w:hyperlink>
    </w:p>
    <w:p w14:paraId="0B50880B" w14:textId="1E0E7ADE" w:rsidR="00146012" w:rsidRDefault="00146012" w:rsidP="00CF2D19">
      <w:pPr>
        <w:spacing w:line="480" w:lineRule="auto"/>
        <w:ind w:left="720" w:hanging="720"/>
        <w:contextualSpacing/>
        <w:rPr>
          <w:rFonts w:eastAsia="Aptos"/>
        </w:rPr>
      </w:pPr>
      <w:r>
        <w:rPr>
          <w:rFonts w:eastAsia="Aptos"/>
        </w:rPr>
        <w:t xml:space="preserve">CMS. (2026). CMS </w:t>
      </w:r>
      <w:r w:rsidR="00956FCF">
        <w:rPr>
          <w:rFonts w:eastAsia="Aptos"/>
        </w:rPr>
        <w:t>m</w:t>
      </w:r>
      <w:r>
        <w:rPr>
          <w:rFonts w:eastAsia="Aptos"/>
        </w:rPr>
        <w:t xml:space="preserve">odernizes </w:t>
      </w:r>
      <w:r w:rsidR="005854C7">
        <w:rPr>
          <w:rFonts w:eastAsia="Aptos"/>
        </w:rPr>
        <w:t>p</w:t>
      </w:r>
      <w:r>
        <w:rPr>
          <w:rFonts w:eastAsia="Aptos"/>
        </w:rPr>
        <w:t xml:space="preserve">ayment </w:t>
      </w:r>
      <w:r w:rsidR="005854C7">
        <w:rPr>
          <w:rFonts w:eastAsia="Aptos"/>
        </w:rPr>
        <w:t>a</w:t>
      </w:r>
      <w:r>
        <w:rPr>
          <w:rFonts w:eastAsia="Aptos"/>
        </w:rPr>
        <w:t xml:space="preserve">ccuracy and </w:t>
      </w:r>
      <w:r w:rsidR="005854C7">
        <w:rPr>
          <w:rFonts w:eastAsia="Aptos"/>
        </w:rPr>
        <w:t>s</w:t>
      </w:r>
      <w:r>
        <w:rPr>
          <w:rFonts w:eastAsia="Aptos"/>
        </w:rPr>
        <w:t xml:space="preserve">ignificantly </w:t>
      </w:r>
      <w:r w:rsidR="005854C7">
        <w:rPr>
          <w:rFonts w:eastAsia="Aptos"/>
        </w:rPr>
        <w:t>c</w:t>
      </w:r>
      <w:r>
        <w:rPr>
          <w:rFonts w:eastAsia="Aptos"/>
        </w:rPr>
        <w:t xml:space="preserve">uts </w:t>
      </w:r>
      <w:r w:rsidR="005854C7">
        <w:rPr>
          <w:rFonts w:eastAsia="Aptos"/>
        </w:rPr>
        <w:t>s</w:t>
      </w:r>
      <w:r>
        <w:rPr>
          <w:rFonts w:eastAsia="Aptos"/>
        </w:rPr>
        <w:t xml:space="preserve">pending </w:t>
      </w:r>
      <w:r w:rsidR="005854C7">
        <w:rPr>
          <w:rFonts w:eastAsia="Aptos"/>
        </w:rPr>
        <w:t>w</w:t>
      </w:r>
      <w:r>
        <w:rPr>
          <w:rFonts w:eastAsia="Aptos"/>
        </w:rPr>
        <w:t>aste.</w:t>
      </w:r>
      <w:r w:rsidR="00184588">
        <w:rPr>
          <w:rFonts w:eastAsia="Aptos"/>
        </w:rPr>
        <w:t xml:space="preserve"> </w:t>
      </w:r>
      <w:hyperlink r:id="rId18" w:history="1">
        <w:r w:rsidR="002B1F60" w:rsidRPr="00C32E75">
          <w:rPr>
            <w:rStyle w:val="Hyperlink"/>
            <w:rFonts w:eastAsia="Aptos"/>
          </w:rPr>
          <w:t>https://www.cms.gov/newsroom/press-releases/cms-modernizes-payment-accuracy-significantly-cuts-spending-waste</w:t>
        </w:r>
      </w:hyperlink>
    </w:p>
    <w:p w14:paraId="43C9BB92" w14:textId="2E56EA35" w:rsidR="00CF2D19" w:rsidRDefault="00CF2D19" w:rsidP="00CF2D19">
      <w:pPr>
        <w:spacing w:line="480" w:lineRule="auto"/>
        <w:ind w:left="720" w:hanging="720"/>
        <w:contextualSpacing/>
        <w:rPr>
          <w:rFonts w:eastAsia="Aptos"/>
        </w:rPr>
      </w:pPr>
      <w:r w:rsidRPr="008F02C4">
        <w:rPr>
          <w:rFonts w:eastAsia="Aptos"/>
          <w:lang w:val="es-ES"/>
        </w:rPr>
        <w:t xml:space="preserve">Corral-Partearroyo, C., Sánchez-Viñas, A., Gil-Girbau, M., Peñarrubia-María, M. T., Aznar-Lou, I., Gallardo-González, C., Olmos-Palenzuela, M. D. C., &amp; Rubio-Valera, M. (2022). </w:t>
      </w:r>
      <w:r w:rsidRPr="008F5B5A">
        <w:rPr>
          <w:rFonts w:eastAsia="Aptos"/>
        </w:rPr>
        <w:t xml:space="preserve">Complex </w:t>
      </w:r>
      <w:r w:rsidR="005854C7">
        <w:rPr>
          <w:rFonts w:eastAsia="Aptos"/>
        </w:rPr>
        <w:t>m</w:t>
      </w:r>
      <w:r w:rsidRPr="008F5B5A">
        <w:rPr>
          <w:rFonts w:eastAsia="Aptos"/>
        </w:rPr>
        <w:t xml:space="preserve">ultidisciplinary </w:t>
      </w:r>
      <w:r w:rsidR="005854C7">
        <w:rPr>
          <w:rFonts w:eastAsia="Aptos"/>
        </w:rPr>
        <w:t>i</w:t>
      </w:r>
      <w:r w:rsidRPr="008F5B5A">
        <w:rPr>
          <w:rFonts w:eastAsia="Aptos"/>
        </w:rPr>
        <w:t xml:space="preserve">ntervention to </w:t>
      </w:r>
      <w:r w:rsidR="005854C7">
        <w:rPr>
          <w:rFonts w:eastAsia="Aptos"/>
        </w:rPr>
        <w:t>i</w:t>
      </w:r>
      <w:r w:rsidRPr="008F5B5A">
        <w:rPr>
          <w:rFonts w:eastAsia="Aptos"/>
        </w:rPr>
        <w:t xml:space="preserve">mprove </w:t>
      </w:r>
      <w:r w:rsidR="005854C7">
        <w:rPr>
          <w:rFonts w:eastAsia="Aptos"/>
        </w:rPr>
        <w:t>i</w:t>
      </w:r>
      <w:r w:rsidRPr="008F5B5A">
        <w:rPr>
          <w:rFonts w:eastAsia="Aptos"/>
        </w:rPr>
        <w:t xml:space="preserve">nitial </w:t>
      </w:r>
      <w:r w:rsidR="005854C7">
        <w:rPr>
          <w:rFonts w:eastAsia="Aptos"/>
        </w:rPr>
        <w:t>m</w:t>
      </w:r>
      <w:r w:rsidRPr="008F5B5A">
        <w:rPr>
          <w:rFonts w:eastAsia="Aptos"/>
        </w:rPr>
        <w:t xml:space="preserve">edication </w:t>
      </w:r>
      <w:r w:rsidR="005854C7">
        <w:rPr>
          <w:rFonts w:eastAsia="Aptos"/>
        </w:rPr>
        <w:t>a</w:t>
      </w:r>
      <w:r w:rsidRPr="008F5B5A">
        <w:rPr>
          <w:rFonts w:eastAsia="Aptos"/>
        </w:rPr>
        <w:t xml:space="preserve">dherence to </w:t>
      </w:r>
      <w:r w:rsidR="005854C7">
        <w:rPr>
          <w:rFonts w:eastAsia="Aptos"/>
        </w:rPr>
        <w:t>c</w:t>
      </w:r>
      <w:r w:rsidRPr="008F5B5A">
        <w:rPr>
          <w:rFonts w:eastAsia="Aptos"/>
        </w:rPr>
        <w:t xml:space="preserve">ardiovascular </w:t>
      </w:r>
      <w:r w:rsidR="005854C7">
        <w:rPr>
          <w:rFonts w:eastAsia="Aptos"/>
        </w:rPr>
        <w:t>d</w:t>
      </w:r>
      <w:r w:rsidRPr="008F5B5A">
        <w:rPr>
          <w:rFonts w:eastAsia="Aptos"/>
        </w:rPr>
        <w:t xml:space="preserve">isease and </w:t>
      </w:r>
      <w:r w:rsidR="005854C7">
        <w:rPr>
          <w:rFonts w:eastAsia="Aptos"/>
        </w:rPr>
        <w:t>d</w:t>
      </w:r>
      <w:r w:rsidRPr="008F5B5A">
        <w:rPr>
          <w:rFonts w:eastAsia="Aptos"/>
        </w:rPr>
        <w:t xml:space="preserve">iabetes </w:t>
      </w:r>
      <w:r w:rsidR="005854C7">
        <w:rPr>
          <w:rFonts w:eastAsia="Aptos"/>
        </w:rPr>
        <w:t>t</w:t>
      </w:r>
      <w:r w:rsidRPr="008F5B5A">
        <w:rPr>
          <w:rFonts w:eastAsia="Aptos"/>
        </w:rPr>
        <w:t xml:space="preserve">reatments in </w:t>
      </w:r>
      <w:r w:rsidR="005854C7">
        <w:rPr>
          <w:rFonts w:eastAsia="Aptos"/>
        </w:rPr>
        <w:t>p</w:t>
      </w:r>
      <w:r w:rsidRPr="008F5B5A">
        <w:rPr>
          <w:rFonts w:eastAsia="Aptos"/>
        </w:rPr>
        <w:t xml:space="preserve">rimary </w:t>
      </w:r>
      <w:r w:rsidR="005854C7">
        <w:rPr>
          <w:rFonts w:eastAsia="Aptos"/>
        </w:rPr>
        <w:t>c</w:t>
      </w:r>
      <w:r w:rsidRPr="008F5B5A">
        <w:rPr>
          <w:rFonts w:eastAsia="Aptos"/>
        </w:rPr>
        <w:t xml:space="preserve">are (the IMA-cRCT study): </w:t>
      </w:r>
      <w:r w:rsidRPr="00927849">
        <w:rPr>
          <w:rFonts w:eastAsia="Aptos"/>
        </w:rPr>
        <w:t>Mixed-</w:t>
      </w:r>
      <w:r w:rsidR="008E3D56">
        <w:rPr>
          <w:rFonts w:eastAsia="Aptos"/>
        </w:rPr>
        <w:t>m</w:t>
      </w:r>
      <w:r w:rsidRPr="00927849">
        <w:rPr>
          <w:rFonts w:eastAsia="Aptos"/>
        </w:rPr>
        <w:t xml:space="preserve">ethods </w:t>
      </w:r>
      <w:r w:rsidR="008E3D56">
        <w:rPr>
          <w:rFonts w:eastAsia="Aptos"/>
        </w:rPr>
        <w:t>p</w:t>
      </w:r>
      <w:r w:rsidRPr="00927849">
        <w:rPr>
          <w:rFonts w:eastAsia="Aptos"/>
        </w:rPr>
        <w:t xml:space="preserve">rocess </w:t>
      </w:r>
      <w:r w:rsidR="008E3D56">
        <w:rPr>
          <w:rFonts w:eastAsia="Aptos"/>
        </w:rPr>
        <w:t>e</w:t>
      </w:r>
      <w:r w:rsidRPr="00927849">
        <w:rPr>
          <w:rFonts w:eastAsia="Aptos"/>
        </w:rPr>
        <w:t xml:space="preserve">valuation </w:t>
      </w:r>
      <w:r w:rsidR="008E3D56">
        <w:rPr>
          <w:rFonts w:eastAsia="Aptos"/>
        </w:rPr>
        <w:t>p</w:t>
      </w:r>
      <w:r w:rsidRPr="00927849">
        <w:rPr>
          <w:rFonts w:eastAsia="Aptos"/>
        </w:rPr>
        <w:t>rotocol</w:t>
      </w:r>
      <w:r w:rsidRPr="008E3D56">
        <w:rPr>
          <w:rFonts w:eastAsia="Aptos"/>
        </w:rPr>
        <w:t>. </w:t>
      </w:r>
      <w:r w:rsidRPr="008F5B5A">
        <w:rPr>
          <w:rFonts w:eastAsia="Aptos"/>
          <w:i/>
          <w:iCs/>
        </w:rPr>
        <w:t>BMJ Open</w:t>
      </w:r>
      <w:r w:rsidRPr="008F5B5A">
        <w:rPr>
          <w:rFonts w:eastAsia="Aptos"/>
        </w:rPr>
        <w:t>, </w:t>
      </w:r>
      <w:r w:rsidRPr="008F5B5A">
        <w:rPr>
          <w:rFonts w:eastAsia="Aptos"/>
          <w:i/>
          <w:iCs/>
        </w:rPr>
        <w:t>12</w:t>
      </w:r>
      <w:r w:rsidRPr="008F5B5A">
        <w:rPr>
          <w:rFonts w:eastAsia="Aptos"/>
        </w:rPr>
        <w:t xml:space="preserve">(10), e067468. </w:t>
      </w:r>
      <w:hyperlink r:id="rId19" w:history="1">
        <w:r w:rsidR="00E40DE7" w:rsidRPr="00762559">
          <w:rPr>
            <w:rStyle w:val="Hyperlink"/>
            <w:rFonts w:eastAsia="Aptos"/>
          </w:rPr>
          <w:t>https://doi.org/10.1136/bmjopen-2022-067468</w:t>
        </w:r>
      </w:hyperlink>
    </w:p>
    <w:p w14:paraId="05C86555" w14:textId="77777777" w:rsidR="00F60D93" w:rsidRDefault="00F60D93" w:rsidP="00F60D93">
      <w:pPr>
        <w:spacing w:line="480" w:lineRule="auto"/>
        <w:ind w:left="720" w:hanging="720"/>
        <w:contextualSpacing/>
      </w:pPr>
      <w:r w:rsidRPr="0020450C">
        <w:t xml:space="preserve">Daliri, S., Bekker, C. L., Buurman, B. M., Scholte op Reimer, W. J., van den Bemt, B. J. F., &amp; Karapinar-Çarkit, F. (2021). Medication management during transitions from hospital to home: a focus group study with hospital and primary healthcare providers in the Netherlands. </w:t>
      </w:r>
      <w:r w:rsidRPr="0020450C">
        <w:rPr>
          <w:i/>
          <w:iCs/>
        </w:rPr>
        <w:t>International Journal of Clinical Pharmacy</w:t>
      </w:r>
      <w:r w:rsidRPr="0020450C">
        <w:t xml:space="preserve">, </w:t>
      </w:r>
      <w:r w:rsidRPr="0020450C">
        <w:rPr>
          <w:i/>
          <w:iCs/>
        </w:rPr>
        <w:t>43</w:t>
      </w:r>
      <w:r w:rsidRPr="0020450C">
        <w:t>(3), 698</w:t>
      </w:r>
      <w:r>
        <w:t>–</w:t>
      </w:r>
      <w:r w:rsidRPr="0020450C">
        <w:t>707.</w:t>
      </w:r>
      <w:hyperlink r:id="rId20" w:history="1">
        <w:r w:rsidRPr="0020450C">
          <w:t xml:space="preserve"> https://doi.org/10.1007/s11096-020-01189-9</w:t>
        </w:r>
      </w:hyperlink>
      <w:r w:rsidRPr="0020450C">
        <w:t xml:space="preserve"> </w:t>
      </w:r>
    </w:p>
    <w:p w14:paraId="40CAF0D2" w14:textId="5D8FDAAF" w:rsidR="00E40DE7" w:rsidRPr="008F5B5A" w:rsidRDefault="00F60D93" w:rsidP="00861FC1">
      <w:pPr>
        <w:spacing w:line="480" w:lineRule="auto"/>
        <w:ind w:left="720" w:hanging="720"/>
        <w:contextualSpacing/>
        <w:rPr>
          <w:rFonts w:eastAsia="Aptos"/>
        </w:rPr>
      </w:pPr>
      <w:r w:rsidRPr="0020450C">
        <w:t xml:space="preserve">Dautzenberg, L., Bretagne, L., Koek, H. L., Tsokani, S., Zevgiti, S., Rodondi, N., &amp; Knol, W. (2021). Medication review interventions to reduce hospital readmissions in older people. </w:t>
      </w:r>
      <w:r w:rsidRPr="0020450C">
        <w:rPr>
          <w:i/>
          <w:iCs/>
        </w:rPr>
        <w:t>Journal of the American Geriatrics Society</w:t>
      </w:r>
      <w:r w:rsidRPr="0020450C">
        <w:t xml:space="preserve">, </w:t>
      </w:r>
      <w:r w:rsidRPr="0020450C">
        <w:rPr>
          <w:i/>
          <w:iCs/>
        </w:rPr>
        <w:t>69</w:t>
      </w:r>
      <w:r w:rsidRPr="0020450C">
        <w:t>(6), 1646</w:t>
      </w:r>
      <w:r>
        <w:t>–</w:t>
      </w:r>
      <w:r w:rsidRPr="0020450C">
        <w:t>1658.</w:t>
      </w:r>
      <w:r>
        <w:t xml:space="preserve"> </w:t>
      </w:r>
      <w:hyperlink r:id="rId21" w:history="1">
        <w:r w:rsidRPr="001C283A">
          <w:rPr>
            <w:rStyle w:val="Hyperlink"/>
          </w:rPr>
          <w:t>https://doi.org/10.1111/jgs.17041</w:t>
        </w:r>
      </w:hyperlink>
      <w:r w:rsidRPr="0020450C">
        <w:t xml:space="preserve"> </w:t>
      </w:r>
    </w:p>
    <w:p w14:paraId="2D2D9E44" w14:textId="2B11FA14" w:rsidR="00CF2D19" w:rsidRPr="008F5B5A" w:rsidRDefault="00CF2D19" w:rsidP="00CF2D19">
      <w:pPr>
        <w:spacing w:line="480" w:lineRule="auto"/>
        <w:ind w:left="720" w:hanging="720"/>
        <w:contextualSpacing/>
        <w:rPr>
          <w:rFonts w:eastAsia="Aptos"/>
        </w:rPr>
      </w:pPr>
      <w:r w:rsidRPr="008F5B5A">
        <w:rPr>
          <w:rFonts w:eastAsia="Aptos"/>
        </w:rPr>
        <w:t xml:space="preserve">Ding, A., Dixon, S. W., Ferries, E. A., &amp; Shrank, W. H. (2022). The </w:t>
      </w:r>
      <w:r w:rsidR="005854C7">
        <w:rPr>
          <w:rFonts w:eastAsia="Aptos"/>
        </w:rPr>
        <w:t>r</w:t>
      </w:r>
      <w:r w:rsidRPr="008F5B5A">
        <w:rPr>
          <w:rFonts w:eastAsia="Aptos"/>
        </w:rPr>
        <w:t xml:space="preserve">ole of </w:t>
      </w:r>
      <w:r w:rsidR="005854C7">
        <w:rPr>
          <w:rFonts w:eastAsia="Aptos"/>
        </w:rPr>
        <w:t>i</w:t>
      </w:r>
      <w:r w:rsidRPr="008F5B5A">
        <w:rPr>
          <w:rFonts w:eastAsia="Aptos"/>
        </w:rPr>
        <w:t xml:space="preserve">ntegrated </w:t>
      </w:r>
      <w:r w:rsidR="005854C7">
        <w:rPr>
          <w:rFonts w:eastAsia="Aptos"/>
        </w:rPr>
        <w:t>m</w:t>
      </w:r>
      <w:r w:rsidRPr="008F5B5A">
        <w:rPr>
          <w:rFonts w:eastAsia="Aptos"/>
        </w:rPr>
        <w:t xml:space="preserve">edical and </w:t>
      </w:r>
      <w:r w:rsidR="005854C7">
        <w:rPr>
          <w:rFonts w:eastAsia="Aptos"/>
        </w:rPr>
        <w:t>p</w:t>
      </w:r>
      <w:r w:rsidRPr="008F5B5A">
        <w:rPr>
          <w:rFonts w:eastAsia="Aptos"/>
        </w:rPr>
        <w:t xml:space="preserve">rescription </w:t>
      </w:r>
      <w:r w:rsidR="005854C7">
        <w:rPr>
          <w:rFonts w:eastAsia="Aptos"/>
        </w:rPr>
        <w:t>d</w:t>
      </w:r>
      <w:r w:rsidRPr="008F5B5A">
        <w:rPr>
          <w:rFonts w:eastAsia="Aptos"/>
        </w:rPr>
        <w:t xml:space="preserve">rug </w:t>
      </w:r>
      <w:r w:rsidR="005854C7">
        <w:rPr>
          <w:rFonts w:eastAsia="Aptos"/>
        </w:rPr>
        <w:t>p</w:t>
      </w:r>
      <w:r w:rsidRPr="008F5B5A">
        <w:rPr>
          <w:rFonts w:eastAsia="Aptos"/>
        </w:rPr>
        <w:t xml:space="preserve">lans in </w:t>
      </w:r>
      <w:r w:rsidR="005854C7">
        <w:rPr>
          <w:rFonts w:eastAsia="Aptos"/>
        </w:rPr>
        <w:t>a</w:t>
      </w:r>
      <w:r w:rsidRPr="008F5B5A">
        <w:rPr>
          <w:rFonts w:eastAsia="Aptos"/>
        </w:rPr>
        <w:t xml:space="preserve">ddressing </w:t>
      </w:r>
      <w:r w:rsidR="005232E1">
        <w:rPr>
          <w:rFonts w:eastAsia="Aptos"/>
        </w:rPr>
        <w:t>r</w:t>
      </w:r>
      <w:r w:rsidRPr="008F5B5A">
        <w:rPr>
          <w:rFonts w:eastAsia="Aptos"/>
        </w:rPr>
        <w:t xml:space="preserve">acial and </w:t>
      </w:r>
      <w:r w:rsidR="005232E1">
        <w:rPr>
          <w:rFonts w:eastAsia="Aptos"/>
        </w:rPr>
        <w:t>e</w:t>
      </w:r>
      <w:r w:rsidRPr="008F5B5A">
        <w:rPr>
          <w:rFonts w:eastAsia="Aptos"/>
        </w:rPr>
        <w:t xml:space="preserve">thnic </w:t>
      </w:r>
      <w:r w:rsidR="005232E1">
        <w:rPr>
          <w:rFonts w:eastAsia="Aptos"/>
        </w:rPr>
        <w:t>d</w:t>
      </w:r>
      <w:r w:rsidRPr="008F5B5A">
        <w:rPr>
          <w:rFonts w:eastAsia="Aptos"/>
        </w:rPr>
        <w:t xml:space="preserve">isparities in </w:t>
      </w:r>
      <w:r w:rsidR="005232E1">
        <w:rPr>
          <w:rFonts w:eastAsia="Aptos"/>
        </w:rPr>
        <w:lastRenderedPageBreak/>
        <w:t>m</w:t>
      </w:r>
      <w:r w:rsidRPr="008F5B5A">
        <w:rPr>
          <w:rFonts w:eastAsia="Aptos"/>
        </w:rPr>
        <w:t xml:space="preserve">edication </w:t>
      </w:r>
      <w:r w:rsidR="005232E1">
        <w:rPr>
          <w:rFonts w:eastAsia="Aptos"/>
        </w:rPr>
        <w:t>a</w:t>
      </w:r>
      <w:r w:rsidRPr="008F5B5A">
        <w:rPr>
          <w:rFonts w:eastAsia="Aptos"/>
        </w:rPr>
        <w:t>dherence. </w:t>
      </w:r>
      <w:r w:rsidRPr="008F5B5A">
        <w:rPr>
          <w:rFonts w:eastAsia="Aptos"/>
          <w:i/>
          <w:iCs/>
        </w:rPr>
        <w:t>Journal of Managed Care &amp; Specialty Pharmacy</w:t>
      </w:r>
      <w:r w:rsidRPr="008F5B5A">
        <w:rPr>
          <w:rFonts w:eastAsia="Aptos"/>
        </w:rPr>
        <w:t>, </w:t>
      </w:r>
      <w:r w:rsidRPr="008F5B5A">
        <w:rPr>
          <w:rFonts w:eastAsia="Aptos"/>
          <w:i/>
          <w:iCs/>
        </w:rPr>
        <w:t>28</w:t>
      </w:r>
      <w:r w:rsidRPr="008F5B5A">
        <w:rPr>
          <w:rFonts w:eastAsia="Aptos"/>
        </w:rPr>
        <w:t>(3), 379</w:t>
      </w:r>
      <w:r>
        <w:rPr>
          <w:rFonts w:eastAsia="Aptos"/>
        </w:rPr>
        <w:t>–</w:t>
      </w:r>
      <w:r w:rsidRPr="008F5B5A">
        <w:rPr>
          <w:rFonts w:eastAsia="Aptos"/>
        </w:rPr>
        <w:t>386. https://doi.org/10.18553/jmcp.2022.28.3.379</w:t>
      </w:r>
    </w:p>
    <w:p w14:paraId="4A1D6275" w14:textId="0E841560" w:rsidR="00CF2D19" w:rsidRPr="008F5B5A" w:rsidRDefault="00CF2D19" w:rsidP="00CF2D19">
      <w:pPr>
        <w:spacing w:line="480" w:lineRule="auto"/>
        <w:ind w:left="720" w:hanging="720"/>
        <w:contextualSpacing/>
        <w:rPr>
          <w:rFonts w:eastAsia="Aptos"/>
        </w:rPr>
      </w:pPr>
      <w:r w:rsidRPr="008F5B5A">
        <w:rPr>
          <w:rFonts w:eastAsia="Aptos"/>
        </w:rPr>
        <w:t xml:space="preserve">Emami, M., Haghdoost, A. A., Yazdi-Feyzabadi, V., &amp; Mehrolhassani, M. H. (2023). Identification of </w:t>
      </w:r>
      <w:r w:rsidR="005232E1">
        <w:rPr>
          <w:rFonts w:eastAsia="Aptos"/>
        </w:rPr>
        <w:t>k</w:t>
      </w:r>
      <w:r w:rsidRPr="008F5B5A">
        <w:rPr>
          <w:rFonts w:eastAsia="Aptos"/>
        </w:rPr>
        <w:t xml:space="preserve">ey </w:t>
      </w:r>
      <w:r w:rsidR="005232E1">
        <w:rPr>
          <w:rFonts w:eastAsia="Aptos"/>
        </w:rPr>
        <w:t>c</w:t>
      </w:r>
      <w:r w:rsidRPr="008F5B5A">
        <w:rPr>
          <w:rFonts w:eastAsia="Aptos"/>
        </w:rPr>
        <w:t xml:space="preserve">omponents in the </w:t>
      </w:r>
      <w:r w:rsidR="005232E1">
        <w:rPr>
          <w:rFonts w:eastAsia="Aptos"/>
        </w:rPr>
        <w:t>h</w:t>
      </w:r>
      <w:r w:rsidRPr="008F5B5A">
        <w:rPr>
          <w:rFonts w:eastAsia="Aptos"/>
        </w:rPr>
        <w:t xml:space="preserve">ealth </w:t>
      </w:r>
      <w:r w:rsidR="005232E1">
        <w:rPr>
          <w:rFonts w:eastAsia="Aptos"/>
        </w:rPr>
        <w:t>s</w:t>
      </w:r>
      <w:r w:rsidRPr="008F5B5A">
        <w:rPr>
          <w:rFonts w:eastAsia="Aptos"/>
        </w:rPr>
        <w:t xml:space="preserve">ystem </w:t>
      </w:r>
      <w:r w:rsidR="005232E1">
        <w:rPr>
          <w:rFonts w:eastAsia="Aptos"/>
        </w:rPr>
        <w:t>using</w:t>
      </w:r>
      <w:r w:rsidRPr="008F5B5A">
        <w:rPr>
          <w:rFonts w:eastAsia="Aptos"/>
        </w:rPr>
        <w:t xml:space="preserve"> a </w:t>
      </w:r>
      <w:r w:rsidR="00EC0923">
        <w:rPr>
          <w:rFonts w:eastAsia="Aptos"/>
        </w:rPr>
        <w:t>systems-thinking</w:t>
      </w:r>
      <w:r w:rsidR="005232E1">
        <w:rPr>
          <w:rFonts w:eastAsia="Aptos"/>
        </w:rPr>
        <w:t xml:space="preserve"> approach</w:t>
      </w:r>
      <w:r w:rsidRPr="008F5B5A">
        <w:rPr>
          <w:rFonts w:eastAsia="Aptos"/>
        </w:rPr>
        <w:t>: A Scoping Review. </w:t>
      </w:r>
      <w:r w:rsidRPr="008F5B5A">
        <w:rPr>
          <w:rFonts w:eastAsia="Aptos"/>
          <w:i/>
          <w:iCs/>
        </w:rPr>
        <w:t>Medical Journal of the Islamic Republic of Iran</w:t>
      </w:r>
      <w:r w:rsidRPr="008F5B5A">
        <w:rPr>
          <w:rFonts w:eastAsia="Aptos"/>
        </w:rPr>
        <w:t>, </w:t>
      </w:r>
      <w:r w:rsidRPr="008F5B5A">
        <w:rPr>
          <w:rFonts w:eastAsia="Aptos"/>
          <w:i/>
          <w:iCs/>
        </w:rPr>
        <w:t>37</w:t>
      </w:r>
      <w:r w:rsidRPr="008F5B5A">
        <w:rPr>
          <w:rFonts w:eastAsia="Aptos"/>
        </w:rPr>
        <w:t>, 47. https://doi.org/10.47176/mjiri.37.47</w:t>
      </w:r>
    </w:p>
    <w:p w14:paraId="6456EE7B" w14:textId="57A0EEBC" w:rsidR="00CF2D19" w:rsidRPr="008F5B5A" w:rsidRDefault="00CF2D19" w:rsidP="00CF2D19">
      <w:pPr>
        <w:spacing w:line="480" w:lineRule="auto"/>
        <w:ind w:left="720" w:hanging="720"/>
        <w:contextualSpacing/>
        <w:rPr>
          <w:rFonts w:eastAsia="Aptos"/>
        </w:rPr>
      </w:pPr>
      <w:r w:rsidRPr="008F5B5A">
        <w:rPr>
          <w:rFonts w:eastAsia="Aptos"/>
        </w:rPr>
        <w:t xml:space="preserve">Eshtehardi, S. S., Taylor, A. A., Chen, T. A., de Dios, M. A., Correa-Fernández, V., Kendzor, D. E., Businelle, M. S., &amp; Reitzel, L. R. (2021). Sociodemographic </w:t>
      </w:r>
      <w:r w:rsidR="00336A3A">
        <w:rPr>
          <w:rFonts w:eastAsia="Aptos"/>
        </w:rPr>
        <w:t>d</w:t>
      </w:r>
      <w:r w:rsidRPr="008F5B5A">
        <w:rPr>
          <w:rFonts w:eastAsia="Aptos"/>
        </w:rPr>
        <w:t xml:space="preserve">eterminants of </w:t>
      </w:r>
      <w:r w:rsidR="00336A3A">
        <w:rPr>
          <w:rFonts w:eastAsia="Aptos"/>
        </w:rPr>
        <w:t>n</w:t>
      </w:r>
      <w:r w:rsidRPr="008F5B5A">
        <w:rPr>
          <w:rFonts w:eastAsia="Aptos"/>
        </w:rPr>
        <w:t xml:space="preserve">onadherence to </w:t>
      </w:r>
      <w:r w:rsidR="00336A3A">
        <w:rPr>
          <w:rFonts w:eastAsia="Aptos"/>
        </w:rPr>
        <w:t>d</w:t>
      </w:r>
      <w:r w:rsidRPr="008F5B5A">
        <w:rPr>
          <w:rFonts w:eastAsia="Aptos"/>
        </w:rPr>
        <w:t xml:space="preserve">epression and </w:t>
      </w:r>
      <w:r w:rsidR="00336A3A">
        <w:rPr>
          <w:rFonts w:eastAsia="Aptos"/>
        </w:rPr>
        <w:t>a</w:t>
      </w:r>
      <w:r w:rsidRPr="008F5B5A">
        <w:rPr>
          <w:rFonts w:eastAsia="Aptos"/>
        </w:rPr>
        <w:t xml:space="preserve">nxiety </w:t>
      </w:r>
      <w:r w:rsidR="00336A3A">
        <w:rPr>
          <w:rFonts w:eastAsia="Aptos"/>
        </w:rPr>
        <w:t>m</w:t>
      </w:r>
      <w:r w:rsidRPr="008F5B5A">
        <w:rPr>
          <w:rFonts w:eastAsia="Aptos"/>
        </w:rPr>
        <w:t xml:space="preserve">edication among </w:t>
      </w:r>
      <w:r w:rsidR="00336A3A">
        <w:rPr>
          <w:rFonts w:eastAsia="Aptos"/>
        </w:rPr>
        <w:t>i</w:t>
      </w:r>
      <w:r w:rsidRPr="008F5B5A">
        <w:rPr>
          <w:rFonts w:eastAsia="Aptos"/>
        </w:rPr>
        <w:t xml:space="preserve">ndividuals </w:t>
      </w:r>
      <w:r w:rsidR="00336A3A">
        <w:rPr>
          <w:rFonts w:eastAsia="Aptos"/>
        </w:rPr>
        <w:t>e</w:t>
      </w:r>
      <w:r w:rsidRPr="008F5B5A">
        <w:rPr>
          <w:rFonts w:eastAsia="Aptos"/>
        </w:rPr>
        <w:t xml:space="preserve">xperiencing </w:t>
      </w:r>
      <w:r w:rsidR="00336A3A">
        <w:rPr>
          <w:rFonts w:eastAsia="Aptos"/>
        </w:rPr>
        <w:t>h</w:t>
      </w:r>
      <w:r w:rsidRPr="008F5B5A">
        <w:rPr>
          <w:rFonts w:eastAsia="Aptos"/>
        </w:rPr>
        <w:t>omelessness. </w:t>
      </w:r>
      <w:r w:rsidRPr="008F5B5A">
        <w:rPr>
          <w:rFonts w:eastAsia="Aptos"/>
          <w:i/>
          <w:iCs/>
        </w:rPr>
        <w:t>International Journal of Environmental Research and Public Health</w:t>
      </w:r>
      <w:r w:rsidRPr="008F5B5A">
        <w:rPr>
          <w:rFonts w:eastAsia="Aptos"/>
        </w:rPr>
        <w:t>, </w:t>
      </w:r>
      <w:r w:rsidRPr="008F5B5A">
        <w:rPr>
          <w:rFonts w:eastAsia="Aptos"/>
          <w:i/>
          <w:iCs/>
        </w:rPr>
        <w:t>18</w:t>
      </w:r>
      <w:r w:rsidRPr="008F5B5A">
        <w:rPr>
          <w:rFonts w:eastAsia="Aptos"/>
        </w:rPr>
        <w:t>(15), 7958. https://doi.org/10.3390/ijerph18157958</w:t>
      </w:r>
    </w:p>
    <w:p w14:paraId="7607C590" w14:textId="5CEA1E6E" w:rsidR="00CF2D19" w:rsidRPr="008F5B5A" w:rsidRDefault="00CF2D19" w:rsidP="00CF2D19">
      <w:pPr>
        <w:spacing w:line="480" w:lineRule="auto"/>
        <w:ind w:left="720" w:hanging="720"/>
        <w:contextualSpacing/>
        <w:rPr>
          <w:rFonts w:eastAsia="Aptos"/>
        </w:rPr>
      </w:pPr>
      <w:bookmarkStart w:id="34" w:name="_Hlk192678414"/>
      <w:bookmarkStart w:id="35" w:name="_Hlk192526079"/>
      <w:bookmarkStart w:id="36" w:name="_Hlk192523036"/>
      <w:bookmarkEnd w:id="30"/>
      <w:r w:rsidRPr="008F02C4">
        <w:rPr>
          <w:rFonts w:eastAsia="Aptos"/>
          <w:lang w:val="fr-FR"/>
        </w:rPr>
        <w:t xml:space="preserve">Faisal, S., Ivo, J., Tennant, R., Prior, K. A., Grindrod, K., McMillan, C., &amp; Patel, T. (2021). </w:t>
      </w:r>
      <w:r w:rsidRPr="008F5B5A">
        <w:rPr>
          <w:rFonts w:eastAsia="Aptos"/>
        </w:rPr>
        <w:t xml:space="preserve">Implementation of a </w:t>
      </w:r>
      <w:r w:rsidR="008C66C2">
        <w:rPr>
          <w:rFonts w:eastAsia="Aptos"/>
        </w:rPr>
        <w:t>r</w:t>
      </w:r>
      <w:r w:rsidRPr="008F5B5A">
        <w:rPr>
          <w:rFonts w:eastAsia="Aptos"/>
        </w:rPr>
        <w:t>eal-</w:t>
      </w:r>
      <w:r w:rsidR="008C66C2">
        <w:rPr>
          <w:rFonts w:eastAsia="Aptos"/>
        </w:rPr>
        <w:t>t</w:t>
      </w:r>
      <w:r w:rsidRPr="008F5B5A">
        <w:rPr>
          <w:rFonts w:eastAsia="Aptos"/>
        </w:rPr>
        <w:t xml:space="preserve">ime </w:t>
      </w:r>
      <w:r w:rsidR="008C66C2">
        <w:rPr>
          <w:rFonts w:eastAsia="Aptos"/>
        </w:rPr>
        <w:t>m</w:t>
      </w:r>
      <w:r w:rsidRPr="008F5B5A">
        <w:rPr>
          <w:rFonts w:eastAsia="Aptos"/>
        </w:rPr>
        <w:t xml:space="preserve">edication </w:t>
      </w:r>
      <w:r w:rsidR="008C66C2">
        <w:rPr>
          <w:rFonts w:eastAsia="Aptos"/>
        </w:rPr>
        <w:t>i</w:t>
      </w:r>
      <w:r w:rsidRPr="008F5B5A">
        <w:rPr>
          <w:rFonts w:eastAsia="Aptos"/>
        </w:rPr>
        <w:t xml:space="preserve">ntake </w:t>
      </w:r>
      <w:r w:rsidR="008C66C2">
        <w:rPr>
          <w:rFonts w:eastAsia="Aptos"/>
        </w:rPr>
        <w:t>m</w:t>
      </w:r>
      <w:r w:rsidRPr="008F5B5A">
        <w:rPr>
          <w:rFonts w:eastAsia="Aptos"/>
        </w:rPr>
        <w:t xml:space="preserve">onitoring </w:t>
      </w:r>
      <w:r w:rsidR="008C66C2">
        <w:rPr>
          <w:rFonts w:eastAsia="Aptos"/>
        </w:rPr>
        <w:t>t</w:t>
      </w:r>
      <w:r w:rsidRPr="008F5B5A">
        <w:rPr>
          <w:rFonts w:eastAsia="Aptos"/>
        </w:rPr>
        <w:t xml:space="preserve">echnology </w:t>
      </w:r>
      <w:r w:rsidR="008C66C2">
        <w:rPr>
          <w:rFonts w:eastAsia="Aptos"/>
        </w:rPr>
        <w:t>i</w:t>
      </w:r>
      <w:r w:rsidRPr="008F5B5A">
        <w:rPr>
          <w:rFonts w:eastAsia="Aptos"/>
        </w:rPr>
        <w:t xml:space="preserve">ntervention in </w:t>
      </w:r>
      <w:r w:rsidR="008C66C2">
        <w:rPr>
          <w:rFonts w:eastAsia="Aptos"/>
        </w:rPr>
        <w:t>c</w:t>
      </w:r>
      <w:r w:rsidRPr="008F5B5A">
        <w:rPr>
          <w:rFonts w:eastAsia="Aptos"/>
        </w:rPr>
        <w:t xml:space="preserve">ommunity </w:t>
      </w:r>
      <w:r w:rsidR="008C66C2">
        <w:rPr>
          <w:rFonts w:eastAsia="Aptos"/>
        </w:rPr>
        <w:t>p</w:t>
      </w:r>
      <w:r w:rsidRPr="008F5B5A">
        <w:rPr>
          <w:rFonts w:eastAsia="Aptos"/>
        </w:rPr>
        <w:t xml:space="preserve">harmacy </w:t>
      </w:r>
      <w:r w:rsidR="008C66C2">
        <w:rPr>
          <w:rFonts w:eastAsia="Aptos"/>
        </w:rPr>
        <w:t>s</w:t>
      </w:r>
      <w:r w:rsidRPr="008F5B5A">
        <w:rPr>
          <w:rFonts w:eastAsia="Aptos"/>
        </w:rPr>
        <w:t>ettings: A mixed-method pilot study. </w:t>
      </w:r>
      <w:r w:rsidRPr="008F5B5A">
        <w:rPr>
          <w:rFonts w:eastAsia="Aptos"/>
          <w:i/>
          <w:iCs/>
        </w:rPr>
        <w:t>Pharmacy</w:t>
      </w:r>
      <w:r w:rsidRPr="008F5B5A">
        <w:rPr>
          <w:rFonts w:eastAsia="Aptos"/>
        </w:rPr>
        <w:t>, </w:t>
      </w:r>
      <w:r w:rsidRPr="008F5B5A">
        <w:rPr>
          <w:rFonts w:eastAsia="Aptos"/>
          <w:i/>
          <w:iCs/>
        </w:rPr>
        <w:t>9</w:t>
      </w:r>
      <w:r w:rsidRPr="008F5B5A">
        <w:rPr>
          <w:rFonts w:eastAsia="Aptos"/>
        </w:rPr>
        <w:t>(2), 105. https://doi.org/10.3390/pharmacy9020105</w:t>
      </w:r>
    </w:p>
    <w:bookmarkEnd w:id="34"/>
    <w:p w14:paraId="23332032" w14:textId="2D613A8F" w:rsidR="00CF2D19" w:rsidRPr="008F5B5A" w:rsidRDefault="00CF2D19" w:rsidP="00CF2D19">
      <w:pPr>
        <w:spacing w:line="480" w:lineRule="auto"/>
        <w:ind w:left="720" w:hanging="720"/>
        <w:contextualSpacing/>
        <w:rPr>
          <w:rFonts w:eastAsia="Aptos"/>
        </w:rPr>
      </w:pPr>
      <w:r w:rsidRPr="008F5B5A">
        <w:rPr>
          <w:rFonts w:eastAsia="Aptos"/>
        </w:rPr>
        <w:t xml:space="preserve">Foley, L., Larkin, J., Lombard-Vance, R., Murphy, A. W., Hynes, L., Galvin, E., &amp; Molloy, G. J. (2021). Prevalence and </w:t>
      </w:r>
      <w:r w:rsidR="008C66C2">
        <w:rPr>
          <w:rFonts w:eastAsia="Aptos"/>
        </w:rPr>
        <w:t>p</w:t>
      </w:r>
      <w:r w:rsidRPr="008F5B5A">
        <w:rPr>
          <w:rFonts w:eastAsia="Aptos"/>
        </w:rPr>
        <w:t xml:space="preserve">redictors of </w:t>
      </w:r>
      <w:r w:rsidR="008C66C2">
        <w:rPr>
          <w:rFonts w:eastAsia="Aptos"/>
        </w:rPr>
        <w:t>m</w:t>
      </w:r>
      <w:r w:rsidRPr="008F5B5A">
        <w:rPr>
          <w:rFonts w:eastAsia="Aptos"/>
        </w:rPr>
        <w:t xml:space="preserve">edication </w:t>
      </w:r>
      <w:r w:rsidR="008C66C2">
        <w:rPr>
          <w:rFonts w:eastAsia="Aptos"/>
        </w:rPr>
        <w:t>n</w:t>
      </w:r>
      <w:r w:rsidRPr="008F5B5A">
        <w:rPr>
          <w:rFonts w:eastAsia="Aptos"/>
        </w:rPr>
        <w:t xml:space="preserve">on-adherence </w:t>
      </w:r>
      <w:r w:rsidR="008C66C2">
        <w:rPr>
          <w:rFonts w:eastAsia="Aptos"/>
        </w:rPr>
        <w:t>a</w:t>
      </w:r>
      <w:r w:rsidRPr="008F5B5A">
        <w:rPr>
          <w:rFonts w:eastAsia="Aptos"/>
        </w:rPr>
        <w:t xml:space="preserve">mong </w:t>
      </w:r>
      <w:r w:rsidR="008C66C2">
        <w:rPr>
          <w:rFonts w:eastAsia="Aptos"/>
        </w:rPr>
        <w:t>p</w:t>
      </w:r>
      <w:r w:rsidRPr="008F5B5A">
        <w:rPr>
          <w:rFonts w:eastAsia="Aptos"/>
        </w:rPr>
        <w:t xml:space="preserve">eople </w:t>
      </w:r>
      <w:r w:rsidR="008C66C2">
        <w:rPr>
          <w:rFonts w:eastAsia="Aptos"/>
        </w:rPr>
        <w:t>l</w:t>
      </w:r>
      <w:r w:rsidRPr="008F5B5A">
        <w:rPr>
          <w:rFonts w:eastAsia="Aptos"/>
        </w:rPr>
        <w:t xml:space="preserve">iving with </w:t>
      </w:r>
      <w:r w:rsidR="008C66C2">
        <w:rPr>
          <w:rFonts w:eastAsia="Aptos"/>
        </w:rPr>
        <w:t>m</w:t>
      </w:r>
      <w:r w:rsidRPr="008F5B5A">
        <w:rPr>
          <w:rFonts w:eastAsia="Aptos"/>
        </w:rPr>
        <w:t>ultimorbidity: A Systematic Review and Meta-analysis. </w:t>
      </w:r>
      <w:r w:rsidRPr="008F5B5A">
        <w:rPr>
          <w:rFonts w:eastAsia="Aptos"/>
          <w:i/>
          <w:iCs/>
        </w:rPr>
        <w:t>BMJ Open</w:t>
      </w:r>
      <w:r w:rsidRPr="008F5B5A">
        <w:rPr>
          <w:rFonts w:eastAsia="Aptos"/>
        </w:rPr>
        <w:t>, </w:t>
      </w:r>
      <w:r w:rsidRPr="008F5B5A">
        <w:rPr>
          <w:rFonts w:eastAsia="Aptos"/>
          <w:i/>
          <w:iCs/>
        </w:rPr>
        <w:t>11</w:t>
      </w:r>
      <w:r w:rsidRPr="008F5B5A">
        <w:rPr>
          <w:rFonts w:eastAsia="Aptos"/>
        </w:rPr>
        <w:t>(9), e044987. https://doi.org/10.1136/bmjopen-2020-044987</w:t>
      </w:r>
    </w:p>
    <w:p w14:paraId="7B66F3CE" w14:textId="0E0ED80D" w:rsidR="00CF2D19" w:rsidRDefault="00CF2D19" w:rsidP="00CF2D19">
      <w:pPr>
        <w:spacing w:line="480" w:lineRule="auto"/>
        <w:ind w:left="720" w:hanging="720"/>
        <w:contextualSpacing/>
        <w:rPr>
          <w:rFonts w:eastAsia="Aptos"/>
        </w:rPr>
      </w:pPr>
      <w:bookmarkStart w:id="37" w:name="_Hlk192855920"/>
      <w:bookmarkEnd w:id="35"/>
      <w:r w:rsidRPr="008F5B5A">
        <w:rPr>
          <w:rFonts w:eastAsia="Aptos"/>
        </w:rPr>
        <w:t>Friedberg, R. D., Neelley, M., Zucker, J., Hanna, A., Mendelsohn, A., Greenberger, A., &amp; Dunevich, N. (2024). Cognitive-</w:t>
      </w:r>
      <w:r w:rsidR="008C66C2">
        <w:rPr>
          <w:rFonts w:eastAsia="Aptos"/>
        </w:rPr>
        <w:t>b</w:t>
      </w:r>
      <w:r w:rsidRPr="008F5B5A">
        <w:rPr>
          <w:rFonts w:eastAsia="Aptos"/>
        </w:rPr>
        <w:t xml:space="preserve">ehavioral </w:t>
      </w:r>
      <w:r w:rsidR="008C66C2">
        <w:rPr>
          <w:rFonts w:eastAsia="Aptos"/>
        </w:rPr>
        <w:t>t</w:t>
      </w:r>
      <w:r w:rsidRPr="008F5B5A">
        <w:rPr>
          <w:rFonts w:eastAsia="Aptos"/>
        </w:rPr>
        <w:t xml:space="preserve">herapy for </w:t>
      </w:r>
      <w:r w:rsidR="008C66C2">
        <w:rPr>
          <w:rFonts w:eastAsia="Aptos"/>
        </w:rPr>
        <w:t>m</w:t>
      </w:r>
      <w:r w:rsidRPr="008F5B5A">
        <w:rPr>
          <w:rFonts w:eastAsia="Aptos"/>
        </w:rPr>
        <w:t xml:space="preserve">edical </w:t>
      </w:r>
      <w:r w:rsidR="008C66C2">
        <w:rPr>
          <w:rFonts w:eastAsia="Aptos"/>
        </w:rPr>
        <w:t>n</w:t>
      </w:r>
      <w:r w:rsidRPr="008F5B5A">
        <w:rPr>
          <w:rFonts w:eastAsia="Aptos"/>
        </w:rPr>
        <w:t xml:space="preserve">on-adherence: a </w:t>
      </w:r>
      <w:r w:rsidR="008C66C2">
        <w:rPr>
          <w:rFonts w:eastAsia="Aptos"/>
        </w:rPr>
        <w:lastRenderedPageBreak/>
        <w:t>t</w:t>
      </w:r>
      <w:r w:rsidRPr="008F5B5A">
        <w:rPr>
          <w:rFonts w:eastAsia="Aptos"/>
        </w:rPr>
        <w:t xml:space="preserve">opical </w:t>
      </w:r>
      <w:r w:rsidR="00282DE2">
        <w:rPr>
          <w:rFonts w:eastAsia="Aptos"/>
        </w:rPr>
        <w:t>r</w:t>
      </w:r>
      <w:r w:rsidRPr="008F5B5A">
        <w:rPr>
          <w:rFonts w:eastAsia="Aptos"/>
        </w:rPr>
        <w:t xml:space="preserve">eview and </w:t>
      </w:r>
      <w:r w:rsidR="00282DE2">
        <w:rPr>
          <w:rFonts w:eastAsia="Aptos"/>
        </w:rPr>
        <w:t>c</w:t>
      </w:r>
      <w:r w:rsidRPr="008F5B5A">
        <w:rPr>
          <w:rFonts w:eastAsia="Aptos"/>
        </w:rPr>
        <w:t xml:space="preserve">linical </w:t>
      </w:r>
      <w:r w:rsidR="00282DE2">
        <w:rPr>
          <w:rFonts w:eastAsia="Aptos"/>
        </w:rPr>
        <w:t>r</w:t>
      </w:r>
      <w:r w:rsidRPr="008F5B5A">
        <w:rPr>
          <w:rFonts w:eastAsia="Aptos"/>
        </w:rPr>
        <w:t>ecommendations. </w:t>
      </w:r>
      <w:r w:rsidRPr="008F5B5A">
        <w:rPr>
          <w:rFonts w:eastAsia="Aptos"/>
          <w:i/>
          <w:iCs/>
        </w:rPr>
        <w:t>Journal of Exploratory Research in Pharmacology</w:t>
      </w:r>
      <w:r w:rsidRPr="008F5B5A">
        <w:rPr>
          <w:rFonts w:eastAsia="Aptos"/>
        </w:rPr>
        <w:t>, </w:t>
      </w:r>
      <w:r w:rsidRPr="008F5B5A">
        <w:rPr>
          <w:rFonts w:eastAsia="Aptos"/>
          <w:i/>
          <w:iCs/>
        </w:rPr>
        <w:t>9</w:t>
      </w:r>
      <w:r w:rsidRPr="008F5B5A">
        <w:rPr>
          <w:rFonts w:eastAsia="Aptos"/>
        </w:rPr>
        <w:t>(3), 213</w:t>
      </w:r>
      <w:r>
        <w:rPr>
          <w:rFonts w:eastAsia="Aptos"/>
        </w:rPr>
        <w:t>–</w:t>
      </w:r>
      <w:r w:rsidRPr="008F5B5A">
        <w:rPr>
          <w:rFonts w:eastAsia="Aptos"/>
        </w:rPr>
        <w:t xml:space="preserve">222. </w:t>
      </w:r>
      <w:hyperlink r:id="rId22" w:history="1">
        <w:r w:rsidR="00606B11" w:rsidRPr="00CF7158">
          <w:rPr>
            <w:rStyle w:val="Hyperlink"/>
            <w:rFonts w:eastAsia="Aptos"/>
          </w:rPr>
          <w:t>https://doi.org/10.14218/JERP.2023.00008</w:t>
        </w:r>
      </w:hyperlink>
    </w:p>
    <w:p w14:paraId="37A41747" w14:textId="55E425D6" w:rsidR="00CF2D19" w:rsidRDefault="00CF2D19" w:rsidP="00CF2D19">
      <w:pPr>
        <w:spacing w:line="480" w:lineRule="auto"/>
        <w:ind w:left="720" w:hanging="720"/>
        <w:contextualSpacing/>
        <w:rPr>
          <w:rFonts w:eastAsia="Aptos"/>
        </w:rPr>
      </w:pPr>
      <w:r w:rsidRPr="008F5B5A">
        <w:rPr>
          <w:rFonts w:eastAsia="Aptos"/>
        </w:rPr>
        <w:t>Fusco</w:t>
      </w:r>
      <w:bookmarkEnd w:id="37"/>
      <w:r w:rsidRPr="008F5B5A">
        <w:rPr>
          <w:rFonts w:eastAsia="Aptos"/>
        </w:rPr>
        <w:t xml:space="preserve">, N., Sils, B., Graff, J. S., Kistler, K., &amp; Ruiz, K. (2023). Cost-sharing and </w:t>
      </w:r>
      <w:r w:rsidR="00282DE2">
        <w:rPr>
          <w:rFonts w:eastAsia="Aptos"/>
        </w:rPr>
        <w:t>a</w:t>
      </w:r>
      <w:r w:rsidRPr="008F5B5A">
        <w:rPr>
          <w:rFonts w:eastAsia="Aptos"/>
        </w:rPr>
        <w:t xml:space="preserve">dherence, </w:t>
      </w:r>
      <w:r w:rsidR="00282DE2">
        <w:rPr>
          <w:rFonts w:eastAsia="Aptos"/>
        </w:rPr>
        <w:t>c</w:t>
      </w:r>
      <w:r w:rsidRPr="008F5B5A">
        <w:rPr>
          <w:rFonts w:eastAsia="Aptos"/>
        </w:rPr>
        <w:t xml:space="preserve">linical </w:t>
      </w:r>
      <w:r w:rsidR="00282DE2">
        <w:rPr>
          <w:rFonts w:eastAsia="Aptos"/>
        </w:rPr>
        <w:t>o</w:t>
      </w:r>
      <w:r w:rsidRPr="008F5B5A">
        <w:rPr>
          <w:rFonts w:eastAsia="Aptos"/>
        </w:rPr>
        <w:t xml:space="preserve">utcomes, </w:t>
      </w:r>
      <w:r w:rsidR="00282DE2">
        <w:rPr>
          <w:rFonts w:eastAsia="Aptos"/>
        </w:rPr>
        <w:t>h</w:t>
      </w:r>
      <w:r w:rsidRPr="008F5B5A">
        <w:rPr>
          <w:rFonts w:eastAsia="Aptos"/>
        </w:rPr>
        <w:t xml:space="preserve">ealth </w:t>
      </w:r>
      <w:r w:rsidR="00282DE2">
        <w:rPr>
          <w:rFonts w:eastAsia="Aptos"/>
        </w:rPr>
        <w:t>c</w:t>
      </w:r>
      <w:r w:rsidRPr="008F5B5A">
        <w:rPr>
          <w:rFonts w:eastAsia="Aptos"/>
        </w:rPr>
        <w:t xml:space="preserve">are </w:t>
      </w:r>
      <w:r w:rsidR="00282DE2">
        <w:rPr>
          <w:rFonts w:eastAsia="Aptos"/>
        </w:rPr>
        <w:t>u</w:t>
      </w:r>
      <w:r w:rsidRPr="008F5B5A">
        <w:rPr>
          <w:rFonts w:eastAsia="Aptos"/>
        </w:rPr>
        <w:t xml:space="preserve">tilization, and </w:t>
      </w:r>
      <w:r w:rsidR="00282DE2">
        <w:rPr>
          <w:rFonts w:eastAsia="Aptos"/>
        </w:rPr>
        <w:t>c</w:t>
      </w:r>
      <w:r w:rsidRPr="008F5B5A">
        <w:rPr>
          <w:rFonts w:eastAsia="Aptos"/>
        </w:rPr>
        <w:t>osts: A Systematic Literature Review. </w:t>
      </w:r>
      <w:r w:rsidRPr="008F5B5A">
        <w:rPr>
          <w:rFonts w:eastAsia="Aptos"/>
          <w:i/>
          <w:iCs/>
        </w:rPr>
        <w:t>Journal of Managed Care &amp; Specialty Pharmacy</w:t>
      </w:r>
      <w:r w:rsidRPr="008F5B5A">
        <w:rPr>
          <w:rFonts w:eastAsia="Aptos"/>
        </w:rPr>
        <w:t>, </w:t>
      </w:r>
      <w:r w:rsidRPr="008F5B5A">
        <w:rPr>
          <w:rFonts w:eastAsia="Aptos"/>
          <w:i/>
          <w:iCs/>
        </w:rPr>
        <w:t>29</w:t>
      </w:r>
      <w:r w:rsidRPr="008F5B5A">
        <w:rPr>
          <w:rFonts w:eastAsia="Aptos"/>
        </w:rPr>
        <w:t>(1), 4</w:t>
      </w:r>
      <w:r>
        <w:rPr>
          <w:rFonts w:eastAsia="Aptos"/>
        </w:rPr>
        <w:t>–</w:t>
      </w:r>
      <w:r w:rsidRPr="008F5B5A">
        <w:rPr>
          <w:rFonts w:eastAsia="Aptos"/>
        </w:rPr>
        <w:t xml:space="preserve">16. </w:t>
      </w:r>
      <w:hyperlink r:id="rId23" w:history="1">
        <w:r w:rsidR="00606B11" w:rsidRPr="00CF7158">
          <w:rPr>
            <w:rStyle w:val="Hyperlink"/>
            <w:rFonts w:eastAsia="Aptos"/>
          </w:rPr>
          <w:t>https://doi.org/10.18553/jmcp.2022.21270</w:t>
        </w:r>
      </w:hyperlink>
    </w:p>
    <w:p w14:paraId="2D1DD8EF" w14:textId="4A25F092" w:rsidR="00CF2D19" w:rsidRDefault="00CF2D19" w:rsidP="00CF2D19">
      <w:pPr>
        <w:spacing w:line="480" w:lineRule="auto"/>
        <w:ind w:left="720" w:hanging="720"/>
        <w:contextualSpacing/>
        <w:rPr>
          <w:rFonts w:eastAsia="Aptos"/>
        </w:rPr>
      </w:pPr>
      <w:r w:rsidRPr="008F5B5A">
        <w:rPr>
          <w:rFonts w:eastAsia="Aptos"/>
        </w:rPr>
        <w:t xml:space="preserve">Ge, L., Heng, B. H., &amp; Yap, C. W. (2023). Understanding </w:t>
      </w:r>
      <w:r w:rsidR="00282DE2">
        <w:rPr>
          <w:rFonts w:eastAsia="Aptos"/>
        </w:rPr>
        <w:t>r</w:t>
      </w:r>
      <w:r w:rsidRPr="008F5B5A">
        <w:rPr>
          <w:rFonts w:eastAsia="Aptos"/>
        </w:rPr>
        <w:t xml:space="preserve">easons and </w:t>
      </w:r>
      <w:r w:rsidR="00282DE2">
        <w:rPr>
          <w:rFonts w:eastAsia="Aptos"/>
        </w:rPr>
        <w:t>d</w:t>
      </w:r>
      <w:r w:rsidRPr="008F5B5A">
        <w:rPr>
          <w:rFonts w:eastAsia="Aptos"/>
        </w:rPr>
        <w:t xml:space="preserve">eterminants of </w:t>
      </w:r>
      <w:r w:rsidR="00282DE2">
        <w:rPr>
          <w:rFonts w:eastAsia="Aptos"/>
        </w:rPr>
        <w:t>m</w:t>
      </w:r>
      <w:r w:rsidRPr="008F5B5A">
        <w:rPr>
          <w:rFonts w:eastAsia="Aptos"/>
        </w:rPr>
        <w:t xml:space="preserve">edication </w:t>
      </w:r>
      <w:r w:rsidR="00282DE2">
        <w:rPr>
          <w:rFonts w:eastAsia="Aptos"/>
        </w:rPr>
        <w:t>n</w:t>
      </w:r>
      <w:r w:rsidRPr="008F5B5A">
        <w:rPr>
          <w:rFonts w:eastAsia="Aptos"/>
        </w:rPr>
        <w:t>on-</w:t>
      </w:r>
      <w:r w:rsidR="00282DE2">
        <w:rPr>
          <w:rFonts w:eastAsia="Aptos"/>
        </w:rPr>
        <w:t>a</w:t>
      </w:r>
      <w:r w:rsidRPr="008F5B5A">
        <w:rPr>
          <w:rFonts w:eastAsia="Aptos"/>
        </w:rPr>
        <w:t xml:space="preserve">dherence in </w:t>
      </w:r>
      <w:r w:rsidR="00282DE2">
        <w:rPr>
          <w:rFonts w:eastAsia="Aptos"/>
        </w:rPr>
        <w:t>c</w:t>
      </w:r>
      <w:r w:rsidRPr="008F5B5A">
        <w:rPr>
          <w:rFonts w:eastAsia="Aptos"/>
        </w:rPr>
        <w:t>ommunity-</w:t>
      </w:r>
      <w:r w:rsidR="00282DE2">
        <w:rPr>
          <w:rFonts w:eastAsia="Aptos"/>
        </w:rPr>
        <w:t>d</w:t>
      </w:r>
      <w:r w:rsidRPr="008F5B5A">
        <w:rPr>
          <w:rFonts w:eastAsia="Aptos"/>
        </w:rPr>
        <w:t xml:space="preserve">welling </w:t>
      </w:r>
      <w:r w:rsidR="00282DE2">
        <w:rPr>
          <w:rFonts w:eastAsia="Aptos"/>
        </w:rPr>
        <w:t>a</w:t>
      </w:r>
      <w:r w:rsidRPr="008F5B5A">
        <w:rPr>
          <w:rFonts w:eastAsia="Aptos"/>
        </w:rPr>
        <w:t xml:space="preserve">dults: a </w:t>
      </w:r>
      <w:r w:rsidR="00EA2F3A">
        <w:rPr>
          <w:rFonts w:eastAsia="Aptos"/>
        </w:rPr>
        <w:t>cr</w:t>
      </w:r>
      <w:r w:rsidRPr="008F5B5A">
        <w:rPr>
          <w:rFonts w:eastAsia="Aptos"/>
        </w:rPr>
        <w:t xml:space="preserve">oss-sectional </w:t>
      </w:r>
      <w:r w:rsidR="00EA2F3A">
        <w:rPr>
          <w:rFonts w:eastAsia="Aptos"/>
        </w:rPr>
        <w:t>s</w:t>
      </w:r>
      <w:r w:rsidRPr="008F5B5A">
        <w:rPr>
          <w:rFonts w:eastAsia="Aptos"/>
        </w:rPr>
        <w:t xml:space="preserve">tudy </w:t>
      </w:r>
      <w:r w:rsidR="00EA2F3A">
        <w:rPr>
          <w:rFonts w:eastAsia="Aptos"/>
        </w:rPr>
        <w:t>c</w:t>
      </w:r>
      <w:r w:rsidRPr="008F5B5A">
        <w:rPr>
          <w:rFonts w:eastAsia="Aptos"/>
        </w:rPr>
        <w:t xml:space="preserve">omparing </w:t>
      </w:r>
      <w:r w:rsidR="00EA2F3A">
        <w:rPr>
          <w:rFonts w:eastAsia="Aptos"/>
        </w:rPr>
        <w:t>y</w:t>
      </w:r>
      <w:r w:rsidRPr="008F5B5A">
        <w:rPr>
          <w:rFonts w:eastAsia="Aptos"/>
        </w:rPr>
        <w:t xml:space="preserve">oung and </w:t>
      </w:r>
      <w:r w:rsidR="00EA2F3A">
        <w:rPr>
          <w:rFonts w:eastAsia="Aptos"/>
        </w:rPr>
        <w:t>o</w:t>
      </w:r>
      <w:r w:rsidRPr="008F5B5A">
        <w:rPr>
          <w:rFonts w:eastAsia="Aptos"/>
        </w:rPr>
        <w:t xml:space="preserve">lder </w:t>
      </w:r>
      <w:r w:rsidR="00EA2F3A">
        <w:rPr>
          <w:rFonts w:eastAsia="Aptos"/>
        </w:rPr>
        <w:t>a</w:t>
      </w:r>
      <w:r w:rsidRPr="008F5B5A">
        <w:rPr>
          <w:rFonts w:eastAsia="Aptos"/>
        </w:rPr>
        <w:t xml:space="preserve">ge </w:t>
      </w:r>
      <w:r w:rsidR="00EA2F3A">
        <w:rPr>
          <w:rFonts w:eastAsia="Aptos"/>
        </w:rPr>
        <w:t>g</w:t>
      </w:r>
      <w:r w:rsidRPr="008F5B5A">
        <w:rPr>
          <w:rFonts w:eastAsia="Aptos"/>
        </w:rPr>
        <w:t>roups. </w:t>
      </w:r>
      <w:r w:rsidRPr="008F5B5A">
        <w:rPr>
          <w:rFonts w:eastAsia="Aptos"/>
          <w:i/>
          <w:iCs/>
        </w:rPr>
        <w:t>BMC Health Services Research</w:t>
      </w:r>
      <w:r w:rsidRPr="008F5B5A">
        <w:rPr>
          <w:rFonts w:eastAsia="Aptos"/>
        </w:rPr>
        <w:t>, </w:t>
      </w:r>
      <w:r w:rsidRPr="008F5B5A">
        <w:rPr>
          <w:rFonts w:eastAsia="Aptos"/>
          <w:i/>
          <w:iCs/>
        </w:rPr>
        <w:t>23</w:t>
      </w:r>
      <w:r w:rsidRPr="008F5B5A">
        <w:rPr>
          <w:rFonts w:eastAsia="Aptos"/>
        </w:rPr>
        <w:t xml:space="preserve">(1), 905. </w:t>
      </w:r>
      <w:hyperlink r:id="rId24" w:history="1">
        <w:r w:rsidR="00606B11" w:rsidRPr="00CF7158">
          <w:rPr>
            <w:rStyle w:val="Hyperlink"/>
            <w:rFonts w:eastAsia="Aptos"/>
          </w:rPr>
          <w:t>https://doi.org/10.1186/s12913-023-09904-8</w:t>
        </w:r>
      </w:hyperlink>
    </w:p>
    <w:p w14:paraId="6D181001" w14:textId="1E0C6849" w:rsidR="00CF2D19" w:rsidRDefault="00CF2D19" w:rsidP="00CF2D19">
      <w:pPr>
        <w:spacing w:line="480" w:lineRule="auto"/>
        <w:ind w:left="720" w:hanging="720"/>
        <w:contextualSpacing/>
        <w:rPr>
          <w:rFonts w:eastAsia="Aptos"/>
          <w:lang w:val="es-ES"/>
        </w:rPr>
      </w:pPr>
      <w:bookmarkStart w:id="38" w:name="_Hlk192680283"/>
      <w:bookmarkStart w:id="39" w:name="_Hlk192523860"/>
      <w:bookmarkEnd w:id="36"/>
      <w:r w:rsidRPr="008F5B5A">
        <w:rPr>
          <w:rFonts w:eastAsia="Aptos"/>
        </w:rPr>
        <w:t xml:space="preserve">Gentili, A., Failla, G., Melnyk, A., Puleo, V., Tanna, G. L. D., Ricciardi, W., &amp; Cascini, F. (2022). The </w:t>
      </w:r>
      <w:r w:rsidR="00EA2F3A">
        <w:rPr>
          <w:rFonts w:eastAsia="Aptos"/>
        </w:rPr>
        <w:t>c</w:t>
      </w:r>
      <w:r w:rsidRPr="008F5B5A">
        <w:rPr>
          <w:rFonts w:eastAsia="Aptos"/>
        </w:rPr>
        <w:t>ost-</w:t>
      </w:r>
      <w:r w:rsidR="00EA2F3A">
        <w:rPr>
          <w:rFonts w:eastAsia="Aptos"/>
        </w:rPr>
        <w:t>e</w:t>
      </w:r>
      <w:r w:rsidRPr="008F5B5A">
        <w:rPr>
          <w:rFonts w:eastAsia="Aptos"/>
        </w:rPr>
        <w:t xml:space="preserve">ffectiveness of </w:t>
      </w:r>
      <w:r w:rsidR="00EA2F3A">
        <w:rPr>
          <w:rFonts w:eastAsia="Aptos"/>
        </w:rPr>
        <w:t>d</w:t>
      </w:r>
      <w:r w:rsidRPr="008F5B5A">
        <w:rPr>
          <w:rFonts w:eastAsia="Aptos"/>
        </w:rPr>
        <w:t>i</w:t>
      </w:r>
      <w:r w:rsidR="00EA2F3A">
        <w:rPr>
          <w:rFonts w:eastAsia="Aptos"/>
        </w:rPr>
        <w:t>g</w:t>
      </w:r>
      <w:r w:rsidRPr="008F5B5A">
        <w:rPr>
          <w:rFonts w:eastAsia="Aptos"/>
        </w:rPr>
        <w:t xml:space="preserve">ital </w:t>
      </w:r>
      <w:r w:rsidR="00EA2F3A">
        <w:rPr>
          <w:rFonts w:eastAsia="Aptos"/>
        </w:rPr>
        <w:t>h</w:t>
      </w:r>
      <w:r w:rsidRPr="008F5B5A">
        <w:rPr>
          <w:rFonts w:eastAsia="Aptos"/>
        </w:rPr>
        <w:t xml:space="preserve">ealth </w:t>
      </w:r>
      <w:r w:rsidR="00EA2F3A">
        <w:rPr>
          <w:rFonts w:eastAsia="Aptos"/>
        </w:rPr>
        <w:t>i</w:t>
      </w:r>
      <w:r w:rsidRPr="008F5B5A">
        <w:rPr>
          <w:rFonts w:eastAsia="Aptos"/>
        </w:rPr>
        <w:t xml:space="preserve">nterventions: A </w:t>
      </w:r>
      <w:r w:rsidR="00EA2F3A">
        <w:rPr>
          <w:rFonts w:eastAsia="Aptos"/>
        </w:rPr>
        <w:t>s</w:t>
      </w:r>
      <w:r w:rsidRPr="008F5B5A">
        <w:rPr>
          <w:rFonts w:eastAsia="Aptos"/>
        </w:rPr>
        <w:t xml:space="preserve">ystematic </w:t>
      </w:r>
      <w:r w:rsidR="00EA2F3A">
        <w:rPr>
          <w:rFonts w:eastAsia="Aptos"/>
        </w:rPr>
        <w:t>r</w:t>
      </w:r>
      <w:r w:rsidRPr="008F5B5A">
        <w:rPr>
          <w:rFonts w:eastAsia="Aptos"/>
        </w:rPr>
        <w:t xml:space="preserve">eview of </w:t>
      </w:r>
      <w:r w:rsidR="00EA2F3A">
        <w:rPr>
          <w:rFonts w:eastAsia="Aptos"/>
        </w:rPr>
        <w:t>l</w:t>
      </w:r>
      <w:r w:rsidRPr="008F5B5A">
        <w:rPr>
          <w:rFonts w:eastAsia="Aptos"/>
        </w:rPr>
        <w:t>iterature.</w:t>
      </w:r>
      <w:r w:rsidRPr="008F5B5A">
        <w:rPr>
          <w:rFonts w:eastAsia="Aptos"/>
          <w:i/>
          <w:iCs/>
        </w:rPr>
        <w:t xml:space="preserve"> </w:t>
      </w:r>
      <w:r w:rsidRPr="008F02C4">
        <w:rPr>
          <w:rFonts w:eastAsia="Aptos"/>
          <w:i/>
          <w:iCs/>
          <w:lang w:val="es-ES"/>
        </w:rPr>
        <w:t>Frontiers in Public Health</w:t>
      </w:r>
      <w:r w:rsidRPr="008F02C4">
        <w:rPr>
          <w:rFonts w:eastAsia="Aptos"/>
          <w:lang w:val="es-ES"/>
        </w:rPr>
        <w:t>, </w:t>
      </w:r>
      <w:r w:rsidRPr="008F02C4">
        <w:rPr>
          <w:rFonts w:eastAsia="Aptos"/>
          <w:i/>
          <w:iCs/>
          <w:lang w:val="es-ES"/>
        </w:rPr>
        <w:t>10</w:t>
      </w:r>
      <w:r w:rsidRPr="008F02C4">
        <w:rPr>
          <w:rFonts w:eastAsia="Aptos"/>
          <w:lang w:val="es-ES"/>
        </w:rPr>
        <w:t xml:space="preserve">, 787135. </w:t>
      </w:r>
      <w:hyperlink r:id="rId25" w:history="1">
        <w:r w:rsidR="00606B11" w:rsidRPr="00CF7158">
          <w:rPr>
            <w:rStyle w:val="Hyperlink"/>
            <w:rFonts w:eastAsia="Aptos"/>
            <w:lang w:val="es-ES"/>
          </w:rPr>
          <w:t>https://doi.org/10.3389/fpubh.2022.787135</w:t>
        </w:r>
      </w:hyperlink>
    </w:p>
    <w:p w14:paraId="4F2AE5A2" w14:textId="58544713" w:rsidR="00CF2D19" w:rsidRDefault="00CF2D19" w:rsidP="00CF2D19">
      <w:pPr>
        <w:spacing w:line="480" w:lineRule="auto"/>
        <w:ind w:left="720" w:hanging="720"/>
        <w:contextualSpacing/>
        <w:rPr>
          <w:rFonts w:eastAsia="Aptos"/>
        </w:rPr>
      </w:pPr>
      <w:bookmarkStart w:id="40" w:name="_Hlk192675415"/>
      <w:bookmarkEnd w:id="38"/>
      <w:bookmarkEnd w:id="39"/>
      <w:r w:rsidRPr="008F02C4">
        <w:rPr>
          <w:rFonts w:eastAsia="Aptos"/>
          <w:lang w:val="es-ES"/>
        </w:rPr>
        <w:t xml:space="preserve">Gil-Guillén, V. F., Balsa, A., Bernárdez, B., Valdés y Llorca, C., Márquez-Contreras, E., de la Haba-Rodríguez, J., Castellano, J. M., &amp; Gómez-Martínez, J. (2022). </w:t>
      </w:r>
      <w:r w:rsidRPr="008F5B5A">
        <w:rPr>
          <w:rFonts w:eastAsia="Aptos"/>
        </w:rPr>
        <w:t xml:space="preserve">Medication </w:t>
      </w:r>
      <w:r w:rsidR="00EA2F3A">
        <w:rPr>
          <w:rFonts w:eastAsia="Aptos"/>
        </w:rPr>
        <w:t>n</w:t>
      </w:r>
      <w:r w:rsidRPr="008F5B5A">
        <w:rPr>
          <w:rFonts w:eastAsia="Aptos"/>
        </w:rPr>
        <w:t xml:space="preserve">on-adherence in </w:t>
      </w:r>
      <w:r w:rsidR="00EA2F3A">
        <w:rPr>
          <w:rFonts w:eastAsia="Aptos"/>
        </w:rPr>
        <w:t>r</w:t>
      </w:r>
      <w:r w:rsidRPr="008F5B5A">
        <w:rPr>
          <w:rFonts w:eastAsia="Aptos"/>
        </w:rPr>
        <w:t xml:space="preserve">heumatology, </w:t>
      </w:r>
      <w:r w:rsidR="00EA2F3A">
        <w:rPr>
          <w:rFonts w:eastAsia="Aptos"/>
        </w:rPr>
        <w:t>o</w:t>
      </w:r>
      <w:r w:rsidRPr="008F5B5A">
        <w:rPr>
          <w:rFonts w:eastAsia="Aptos"/>
        </w:rPr>
        <w:t xml:space="preserve">ncology, and </w:t>
      </w:r>
      <w:r w:rsidR="00EA2F3A">
        <w:rPr>
          <w:rFonts w:eastAsia="Aptos"/>
        </w:rPr>
        <w:t>c</w:t>
      </w:r>
      <w:r w:rsidRPr="008F5B5A">
        <w:rPr>
          <w:rFonts w:eastAsia="Aptos"/>
        </w:rPr>
        <w:t xml:space="preserve">ardiology: A </w:t>
      </w:r>
      <w:r w:rsidR="00EA2F3A">
        <w:rPr>
          <w:rFonts w:eastAsia="Aptos"/>
        </w:rPr>
        <w:t>r</w:t>
      </w:r>
      <w:r w:rsidRPr="008F5B5A">
        <w:rPr>
          <w:rFonts w:eastAsia="Aptos"/>
        </w:rPr>
        <w:t xml:space="preserve">eview of the </w:t>
      </w:r>
      <w:r w:rsidR="00EA2F3A">
        <w:rPr>
          <w:rFonts w:eastAsia="Aptos"/>
        </w:rPr>
        <w:t>l</w:t>
      </w:r>
      <w:r w:rsidRPr="008F5B5A">
        <w:rPr>
          <w:rFonts w:eastAsia="Aptos"/>
        </w:rPr>
        <w:t xml:space="preserve">iterature on </w:t>
      </w:r>
      <w:r w:rsidR="00EA2F3A">
        <w:rPr>
          <w:rFonts w:eastAsia="Aptos"/>
        </w:rPr>
        <w:t>r</w:t>
      </w:r>
      <w:r w:rsidRPr="008F5B5A">
        <w:rPr>
          <w:rFonts w:eastAsia="Aptos"/>
        </w:rPr>
        <w:t xml:space="preserve">isk </w:t>
      </w:r>
      <w:r w:rsidR="00EA2F3A">
        <w:rPr>
          <w:rFonts w:eastAsia="Aptos"/>
        </w:rPr>
        <w:t>f</w:t>
      </w:r>
      <w:r w:rsidRPr="008F5B5A">
        <w:rPr>
          <w:rFonts w:eastAsia="Aptos"/>
        </w:rPr>
        <w:t xml:space="preserve">actors and </w:t>
      </w:r>
      <w:r w:rsidR="00EA2F3A">
        <w:rPr>
          <w:rFonts w:eastAsia="Aptos"/>
        </w:rPr>
        <w:t>p</w:t>
      </w:r>
      <w:r w:rsidRPr="008F5B5A">
        <w:rPr>
          <w:rFonts w:eastAsia="Aptos"/>
        </w:rPr>
        <w:t xml:space="preserve">otential </w:t>
      </w:r>
      <w:r w:rsidR="00EA2F3A">
        <w:rPr>
          <w:rFonts w:eastAsia="Aptos"/>
        </w:rPr>
        <w:t>i</w:t>
      </w:r>
      <w:r w:rsidRPr="008F5B5A">
        <w:rPr>
          <w:rFonts w:eastAsia="Aptos"/>
        </w:rPr>
        <w:t>nterventions. </w:t>
      </w:r>
      <w:r w:rsidRPr="008F5B5A">
        <w:rPr>
          <w:rFonts w:eastAsia="Aptos"/>
          <w:i/>
          <w:iCs/>
        </w:rPr>
        <w:t>International Journal of Environmental Research and Public Health</w:t>
      </w:r>
      <w:r w:rsidRPr="008F5B5A">
        <w:rPr>
          <w:rFonts w:eastAsia="Aptos"/>
        </w:rPr>
        <w:t>, </w:t>
      </w:r>
      <w:r w:rsidRPr="008F5B5A">
        <w:rPr>
          <w:rFonts w:eastAsia="Aptos"/>
          <w:i/>
          <w:iCs/>
        </w:rPr>
        <w:t>19</w:t>
      </w:r>
      <w:r w:rsidRPr="008F5B5A">
        <w:rPr>
          <w:rFonts w:eastAsia="Aptos"/>
        </w:rPr>
        <w:t xml:space="preserve">(19), 12036. </w:t>
      </w:r>
      <w:hyperlink r:id="rId26" w:history="1">
        <w:r w:rsidR="00606B11" w:rsidRPr="00CF7158">
          <w:rPr>
            <w:rStyle w:val="Hyperlink"/>
            <w:rFonts w:eastAsia="Aptos"/>
          </w:rPr>
          <w:t>https://doi.org/10.3390/ijerph191912036</w:t>
        </w:r>
      </w:hyperlink>
    </w:p>
    <w:p w14:paraId="3BB847A7" w14:textId="1869A74F" w:rsidR="00CF2D19" w:rsidRDefault="00CF2D19" w:rsidP="00CF2D19">
      <w:pPr>
        <w:spacing w:line="480" w:lineRule="auto"/>
        <w:ind w:left="720" w:hanging="720"/>
        <w:contextualSpacing/>
        <w:rPr>
          <w:rFonts w:eastAsia="Aptos"/>
        </w:rPr>
      </w:pPr>
      <w:r w:rsidRPr="008F5B5A">
        <w:rPr>
          <w:rFonts w:eastAsia="Aptos"/>
        </w:rPr>
        <w:t xml:space="preserve">Glasgow, R. E., Knoepke, C. E., Magid, D., Grunwald, G. K., Glorioso, T. J., Waughtal, J., Marrs, J.C., Bull, S., &amp; Ho, P. M. (2021). The NUDGE Trial: A </w:t>
      </w:r>
      <w:r w:rsidR="00EA2F3A">
        <w:rPr>
          <w:rFonts w:eastAsia="Aptos"/>
        </w:rPr>
        <w:t>p</w:t>
      </w:r>
      <w:r w:rsidRPr="008F5B5A">
        <w:rPr>
          <w:rFonts w:eastAsia="Aptos"/>
        </w:rPr>
        <w:t xml:space="preserve">ragmatic </w:t>
      </w:r>
      <w:r w:rsidR="00EA2F3A">
        <w:rPr>
          <w:rFonts w:eastAsia="Aptos"/>
        </w:rPr>
        <w:t>t</w:t>
      </w:r>
      <w:r w:rsidRPr="008F5B5A">
        <w:rPr>
          <w:rFonts w:eastAsia="Aptos"/>
        </w:rPr>
        <w:t xml:space="preserve">rial to </w:t>
      </w:r>
      <w:r w:rsidR="00EA2F3A">
        <w:rPr>
          <w:rFonts w:eastAsia="Aptos"/>
        </w:rPr>
        <w:t>e</w:t>
      </w:r>
      <w:r w:rsidRPr="008F5B5A">
        <w:rPr>
          <w:rFonts w:eastAsia="Aptos"/>
        </w:rPr>
        <w:t xml:space="preserve">nhance </w:t>
      </w:r>
      <w:r w:rsidR="00EA2F3A">
        <w:rPr>
          <w:rFonts w:eastAsia="Aptos"/>
        </w:rPr>
        <w:t>c</w:t>
      </w:r>
      <w:r w:rsidRPr="008F5B5A">
        <w:rPr>
          <w:rFonts w:eastAsia="Aptos"/>
        </w:rPr>
        <w:t xml:space="preserve">ardiovascular </w:t>
      </w:r>
      <w:r w:rsidR="00EA2F3A">
        <w:rPr>
          <w:rFonts w:eastAsia="Aptos"/>
        </w:rPr>
        <w:t>m</w:t>
      </w:r>
      <w:r w:rsidRPr="008F5B5A">
        <w:rPr>
          <w:rFonts w:eastAsia="Aptos"/>
        </w:rPr>
        <w:t xml:space="preserve">edication </w:t>
      </w:r>
      <w:r w:rsidR="00EA2F3A">
        <w:rPr>
          <w:rFonts w:eastAsia="Aptos"/>
        </w:rPr>
        <w:t>a</w:t>
      </w:r>
      <w:r w:rsidRPr="008F5B5A">
        <w:rPr>
          <w:rFonts w:eastAsia="Aptos"/>
        </w:rPr>
        <w:t xml:space="preserve">dherence - Study </w:t>
      </w:r>
      <w:r w:rsidR="00EA2F3A">
        <w:rPr>
          <w:rFonts w:eastAsia="Aptos"/>
        </w:rPr>
        <w:t>p</w:t>
      </w:r>
      <w:r w:rsidRPr="008F5B5A">
        <w:rPr>
          <w:rFonts w:eastAsia="Aptos"/>
        </w:rPr>
        <w:t xml:space="preserve">rotocol for a </w:t>
      </w:r>
      <w:r w:rsidR="00EA2F3A">
        <w:rPr>
          <w:rFonts w:eastAsia="Aptos"/>
        </w:rPr>
        <w:lastRenderedPageBreak/>
        <w:t>r</w:t>
      </w:r>
      <w:r w:rsidRPr="008F5B5A">
        <w:rPr>
          <w:rFonts w:eastAsia="Aptos"/>
        </w:rPr>
        <w:t xml:space="preserve">andomized </w:t>
      </w:r>
      <w:r w:rsidR="00EA2F3A">
        <w:rPr>
          <w:rFonts w:eastAsia="Aptos"/>
        </w:rPr>
        <w:t>c</w:t>
      </w:r>
      <w:r w:rsidRPr="008F5B5A">
        <w:rPr>
          <w:rFonts w:eastAsia="Aptos"/>
        </w:rPr>
        <w:t xml:space="preserve">ontrolled </w:t>
      </w:r>
      <w:r w:rsidR="00EA2F3A">
        <w:rPr>
          <w:rFonts w:eastAsia="Aptos"/>
        </w:rPr>
        <w:t>t</w:t>
      </w:r>
      <w:r w:rsidRPr="008F5B5A">
        <w:rPr>
          <w:rFonts w:eastAsia="Aptos"/>
        </w:rPr>
        <w:t>rial. </w:t>
      </w:r>
      <w:r w:rsidRPr="008F5B5A">
        <w:rPr>
          <w:rFonts w:eastAsia="Aptos"/>
          <w:i/>
          <w:iCs/>
        </w:rPr>
        <w:t>Trials</w:t>
      </w:r>
      <w:r w:rsidRPr="008F5B5A">
        <w:rPr>
          <w:rFonts w:eastAsia="Aptos"/>
        </w:rPr>
        <w:t>, </w:t>
      </w:r>
      <w:r w:rsidRPr="008F5B5A">
        <w:rPr>
          <w:rFonts w:eastAsia="Aptos"/>
          <w:i/>
          <w:iCs/>
        </w:rPr>
        <w:t>22</w:t>
      </w:r>
      <w:r w:rsidRPr="008F5B5A">
        <w:rPr>
          <w:rFonts w:eastAsia="Aptos"/>
        </w:rPr>
        <w:t xml:space="preserve">(1), 528. </w:t>
      </w:r>
      <w:hyperlink r:id="rId27" w:history="1">
        <w:r w:rsidR="00606B11" w:rsidRPr="00CF7158">
          <w:rPr>
            <w:rStyle w:val="Hyperlink"/>
            <w:rFonts w:eastAsia="Aptos"/>
          </w:rPr>
          <w:t>https://doi.org/10.1186/s13063-021-05453-9</w:t>
        </w:r>
      </w:hyperlink>
    </w:p>
    <w:p w14:paraId="27A1964E" w14:textId="18522E87" w:rsidR="00CF2D19" w:rsidRDefault="00CF2D19" w:rsidP="00CF2D19">
      <w:pPr>
        <w:spacing w:line="480" w:lineRule="auto"/>
        <w:ind w:left="720" w:hanging="720"/>
        <w:contextualSpacing/>
        <w:rPr>
          <w:rFonts w:eastAsia="Aptos"/>
          <w:lang w:val="es-ES"/>
        </w:rPr>
      </w:pPr>
      <w:bookmarkStart w:id="41" w:name="_Hlk192675980"/>
      <w:bookmarkEnd w:id="40"/>
      <w:r w:rsidRPr="008F5B5A">
        <w:rPr>
          <w:rFonts w:eastAsia="Aptos"/>
        </w:rPr>
        <w:t xml:space="preserve">Gohil, S., Majd, Z., Sheneman, J. C., &amp; Abughosh, S. M. (2022). Interventions to </w:t>
      </w:r>
      <w:r w:rsidR="00887F32">
        <w:rPr>
          <w:rFonts w:eastAsia="Aptos"/>
        </w:rPr>
        <w:t>i</w:t>
      </w:r>
      <w:r w:rsidRPr="008F5B5A">
        <w:rPr>
          <w:rFonts w:eastAsia="Aptos"/>
        </w:rPr>
        <w:t xml:space="preserve">mprove </w:t>
      </w:r>
      <w:r w:rsidR="00887F32">
        <w:rPr>
          <w:rFonts w:eastAsia="Aptos"/>
        </w:rPr>
        <w:t>m</w:t>
      </w:r>
      <w:r w:rsidRPr="008F5B5A">
        <w:rPr>
          <w:rFonts w:eastAsia="Aptos"/>
        </w:rPr>
        <w:t xml:space="preserve">edication </w:t>
      </w:r>
      <w:r w:rsidR="00887F32">
        <w:rPr>
          <w:rFonts w:eastAsia="Aptos"/>
        </w:rPr>
        <w:t>a</w:t>
      </w:r>
      <w:r w:rsidRPr="008F5B5A">
        <w:rPr>
          <w:rFonts w:eastAsia="Aptos"/>
        </w:rPr>
        <w:t xml:space="preserve">dherence in </w:t>
      </w:r>
      <w:r w:rsidR="00887F32">
        <w:rPr>
          <w:rFonts w:eastAsia="Aptos"/>
        </w:rPr>
        <w:t>i</w:t>
      </w:r>
      <w:r w:rsidRPr="008F5B5A">
        <w:rPr>
          <w:rFonts w:eastAsia="Aptos"/>
        </w:rPr>
        <w:t xml:space="preserve">nflammatory </w:t>
      </w:r>
      <w:r w:rsidR="00887F32">
        <w:rPr>
          <w:rFonts w:eastAsia="Aptos"/>
        </w:rPr>
        <w:t>b</w:t>
      </w:r>
      <w:r w:rsidRPr="008F5B5A">
        <w:rPr>
          <w:rFonts w:eastAsia="Aptos"/>
        </w:rPr>
        <w:t xml:space="preserve">owel </w:t>
      </w:r>
      <w:r w:rsidR="00887F32">
        <w:rPr>
          <w:rFonts w:eastAsia="Aptos"/>
        </w:rPr>
        <w:t>d</w:t>
      </w:r>
      <w:r w:rsidRPr="008F5B5A">
        <w:rPr>
          <w:rFonts w:eastAsia="Aptos"/>
        </w:rPr>
        <w:t xml:space="preserve">isease: A </w:t>
      </w:r>
      <w:r w:rsidR="00887F32">
        <w:rPr>
          <w:rFonts w:eastAsia="Aptos"/>
        </w:rPr>
        <w:t>s</w:t>
      </w:r>
      <w:r w:rsidRPr="008F5B5A">
        <w:rPr>
          <w:rFonts w:eastAsia="Aptos"/>
        </w:rPr>
        <w:t xml:space="preserve">ystematic </w:t>
      </w:r>
      <w:r w:rsidR="00887F32">
        <w:rPr>
          <w:rFonts w:eastAsia="Aptos"/>
        </w:rPr>
        <w:t>r</w:t>
      </w:r>
      <w:r w:rsidRPr="008F5B5A">
        <w:rPr>
          <w:rFonts w:eastAsia="Aptos"/>
        </w:rPr>
        <w:t>eview. </w:t>
      </w:r>
      <w:r w:rsidRPr="008F02C4">
        <w:rPr>
          <w:rFonts w:eastAsia="Aptos"/>
          <w:i/>
          <w:iCs/>
          <w:lang w:val="es-ES"/>
        </w:rPr>
        <w:t>Patient Education and Counseling</w:t>
      </w:r>
      <w:r w:rsidRPr="008F02C4">
        <w:rPr>
          <w:rFonts w:eastAsia="Aptos"/>
          <w:lang w:val="es-ES"/>
        </w:rPr>
        <w:t>, </w:t>
      </w:r>
      <w:r w:rsidRPr="008F02C4">
        <w:rPr>
          <w:rFonts w:eastAsia="Aptos"/>
          <w:i/>
          <w:iCs/>
          <w:lang w:val="es-ES"/>
        </w:rPr>
        <w:t>105</w:t>
      </w:r>
      <w:r w:rsidRPr="008F02C4">
        <w:rPr>
          <w:rFonts w:eastAsia="Aptos"/>
          <w:lang w:val="es-ES"/>
        </w:rPr>
        <w:t xml:space="preserve">(7), 1731-1742. </w:t>
      </w:r>
      <w:hyperlink r:id="rId28" w:history="1">
        <w:r w:rsidR="00606B11" w:rsidRPr="00CF7158">
          <w:rPr>
            <w:rStyle w:val="Hyperlink"/>
            <w:rFonts w:eastAsia="Aptos"/>
            <w:lang w:val="es-ES"/>
          </w:rPr>
          <w:t>https://doi.org/10.1016/j.pec.2021.10.017</w:t>
        </w:r>
      </w:hyperlink>
    </w:p>
    <w:p w14:paraId="7D0FF07F" w14:textId="3E9A23CE" w:rsidR="00CF2D19" w:rsidRDefault="00CF2D19" w:rsidP="00CF2D19">
      <w:pPr>
        <w:spacing w:line="480" w:lineRule="auto"/>
        <w:ind w:left="720" w:hanging="720"/>
        <w:contextualSpacing/>
        <w:rPr>
          <w:rFonts w:eastAsia="Aptos"/>
        </w:rPr>
      </w:pPr>
      <w:bookmarkStart w:id="42" w:name="_Hlk192677447"/>
      <w:bookmarkEnd w:id="41"/>
      <w:r w:rsidRPr="008F02C4">
        <w:rPr>
          <w:rFonts w:eastAsia="Aptos"/>
          <w:lang w:val="es-ES"/>
        </w:rPr>
        <w:t xml:space="preserve">González de León, B., del Pino-Sedeno, T., Serrano-Pérez, P., Rodríguez Álvarez, C., Bejarano-Quisoboni, D., &amp; Trujillo-Martín, M. M. (2022). </w:t>
      </w:r>
      <w:r w:rsidRPr="008F5B5A">
        <w:rPr>
          <w:rFonts w:eastAsia="Aptos"/>
        </w:rPr>
        <w:t xml:space="preserve">Effectiveness of </w:t>
      </w:r>
      <w:r w:rsidR="00887F32">
        <w:rPr>
          <w:rFonts w:eastAsia="Aptos"/>
        </w:rPr>
        <w:t>i</w:t>
      </w:r>
      <w:r w:rsidRPr="008F5B5A">
        <w:rPr>
          <w:rFonts w:eastAsia="Aptos"/>
        </w:rPr>
        <w:t xml:space="preserve">nterventions to </w:t>
      </w:r>
      <w:r w:rsidR="00887F32">
        <w:rPr>
          <w:rFonts w:eastAsia="Aptos"/>
        </w:rPr>
        <w:t>i</w:t>
      </w:r>
      <w:r w:rsidRPr="008F5B5A">
        <w:rPr>
          <w:rFonts w:eastAsia="Aptos"/>
        </w:rPr>
        <w:t xml:space="preserve">mprove </w:t>
      </w:r>
      <w:r w:rsidR="00887F32">
        <w:rPr>
          <w:rFonts w:eastAsia="Aptos"/>
        </w:rPr>
        <w:t>m</w:t>
      </w:r>
      <w:r w:rsidRPr="008F5B5A">
        <w:rPr>
          <w:rFonts w:eastAsia="Aptos"/>
        </w:rPr>
        <w:t xml:space="preserve">edication </w:t>
      </w:r>
      <w:r w:rsidR="00887F32">
        <w:rPr>
          <w:rFonts w:eastAsia="Aptos"/>
        </w:rPr>
        <w:t>a</w:t>
      </w:r>
      <w:r w:rsidRPr="008F5B5A">
        <w:rPr>
          <w:rFonts w:eastAsia="Aptos"/>
        </w:rPr>
        <w:t xml:space="preserve">dherence in </w:t>
      </w:r>
      <w:r w:rsidR="00887F32">
        <w:rPr>
          <w:rFonts w:eastAsia="Aptos"/>
        </w:rPr>
        <w:t>a</w:t>
      </w:r>
      <w:r w:rsidRPr="008F5B5A">
        <w:rPr>
          <w:rFonts w:eastAsia="Aptos"/>
        </w:rPr>
        <w:t xml:space="preserve">dults with </w:t>
      </w:r>
      <w:r w:rsidR="00887F32">
        <w:rPr>
          <w:rFonts w:eastAsia="Aptos"/>
        </w:rPr>
        <w:t>d</w:t>
      </w:r>
      <w:r w:rsidRPr="008F5B5A">
        <w:rPr>
          <w:rFonts w:eastAsia="Aptos"/>
        </w:rPr>
        <w:t xml:space="preserve">epressive </w:t>
      </w:r>
      <w:r w:rsidR="00887F32">
        <w:rPr>
          <w:rFonts w:eastAsia="Aptos"/>
        </w:rPr>
        <w:t>d</w:t>
      </w:r>
      <w:r w:rsidRPr="008F5B5A">
        <w:rPr>
          <w:rFonts w:eastAsia="Aptos"/>
        </w:rPr>
        <w:t xml:space="preserve">isorders: A </w:t>
      </w:r>
      <w:r w:rsidR="00887F32">
        <w:rPr>
          <w:rFonts w:eastAsia="Aptos"/>
        </w:rPr>
        <w:t>m</w:t>
      </w:r>
      <w:r w:rsidRPr="008F5B5A">
        <w:rPr>
          <w:rFonts w:eastAsia="Aptos"/>
        </w:rPr>
        <w:t>eta-</w:t>
      </w:r>
      <w:r w:rsidR="00887F32">
        <w:rPr>
          <w:rFonts w:eastAsia="Aptos"/>
        </w:rPr>
        <w:t>a</w:t>
      </w:r>
      <w:r w:rsidRPr="008F5B5A">
        <w:rPr>
          <w:rFonts w:eastAsia="Aptos"/>
        </w:rPr>
        <w:t>nalysis. </w:t>
      </w:r>
      <w:r w:rsidRPr="008F5B5A">
        <w:rPr>
          <w:rFonts w:eastAsia="Aptos"/>
          <w:i/>
          <w:iCs/>
        </w:rPr>
        <w:t>BMC psychiatry</w:t>
      </w:r>
      <w:r w:rsidRPr="008F5B5A">
        <w:rPr>
          <w:rFonts w:eastAsia="Aptos"/>
        </w:rPr>
        <w:t>, </w:t>
      </w:r>
      <w:r w:rsidRPr="008F5B5A">
        <w:rPr>
          <w:rFonts w:eastAsia="Aptos"/>
          <w:i/>
          <w:iCs/>
        </w:rPr>
        <w:t>22</w:t>
      </w:r>
      <w:r w:rsidRPr="008F5B5A">
        <w:rPr>
          <w:rFonts w:eastAsia="Aptos"/>
        </w:rPr>
        <w:t xml:space="preserve">(1), 487. </w:t>
      </w:r>
      <w:hyperlink r:id="rId29" w:history="1">
        <w:r w:rsidR="00606B11" w:rsidRPr="00CF7158">
          <w:rPr>
            <w:rStyle w:val="Hyperlink"/>
            <w:rFonts w:eastAsia="Aptos"/>
          </w:rPr>
          <w:t>https://doi.org/10.1186/s12888-022-04120-w</w:t>
        </w:r>
      </w:hyperlink>
    </w:p>
    <w:p w14:paraId="678A20E2" w14:textId="4C465051" w:rsidR="00CF2D19" w:rsidRDefault="00CF2D19" w:rsidP="00CF2D19">
      <w:pPr>
        <w:spacing w:line="480" w:lineRule="auto"/>
        <w:ind w:left="720" w:hanging="720"/>
        <w:contextualSpacing/>
        <w:rPr>
          <w:rFonts w:eastAsia="Aptos"/>
        </w:rPr>
      </w:pPr>
      <w:bookmarkStart w:id="43" w:name="_Hlk192678553"/>
      <w:bookmarkStart w:id="44" w:name="_Hlk192520977"/>
      <w:bookmarkStart w:id="45" w:name="_Hlk192520545"/>
      <w:bookmarkEnd w:id="31"/>
      <w:bookmarkEnd w:id="42"/>
      <w:r w:rsidRPr="008F5B5A">
        <w:rPr>
          <w:rFonts w:eastAsia="Aptos"/>
        </w:rPr>
        <w:t xml:space="preserve">Gunter, Z., Lawson, N., &amp; Bondarenka, C. (2022). The </w:t>
      </w:r>
      <w:r w:rsidR="0064743D">
        <w:rPr>
          <w:rFonts w:eastAsia="Aptos"/>
        </w:rPr>
        <w:t>impact</w:t>
      </w:r>
      <w:r w:rsidRPr="008F5B5A">
        <w:rPr>
          <w:rFonts w:eastAsia="Aptos"/>
        </w:rPr>
        <w:t xml:space="preserve"> of </w:t>
      </w:r>
      <w:r w:rsidR="0076635F">
        <w:rPr>
          <w:rFonts w:eastAsia="Aptos"/>
        </w:rPr>
        <w:t>d</w:t>
      </w:r>
      <w:r w:rsidR="0076635F" w:rsidRPr="008F5B5A">
        <w:rPr>
          <w:rFonts w:eastAsia="Aptos"/>
        </w:rPr>
        <w:t>ispensing</w:t>
      </w:r>
      <w:r w:rsidRPr="008F5B5A">
        <w:rPr>
          <w:rFonts w:eastAsia="Aptos"/>
        </w:rPr>
        <w:t xml:space="preserve"> </w:t>
      </w:r>
      <w:r w:rsidR="00887F32">
        <w:rPr>
          <w:rFonts w:eastAsia="Aptos"/>
        </w:rPr>
        <w:t>t</w:t>
      </w:r>
      <w:r w:rsidRPr="008F5B5A">
        <w:rPr>
          <w:rFonts w:eastAsia="Aptos"/>
        </w:rPr>
        <w:t xml:space="preserve">racking </w:t>
      </w:r>
      <w:r w:rsidR="00887F32">
        <w:rPr>
          <w:rFonts w:eastAsia="Aptos"/>
        </w:rPr>
        <w:t>s</w:t>
      </w:r>
      <w:r w:rsidRPr="008F5B5A">
        <w:rPr>
          <w:rFonts w:eastAsia="Aptos"/>
        </w:rPr>
        <w:t xml:space="preserve">oftware on </w:t>
      </w:r>
      <w:r w:rsidR="00887F32">
        <w:rPr>
          <w:rFonts w:eastAsia="Aptos"/>
        </w:rPr>
        <w:t>i</w:t>
      </w:r>
      <w:r w:rsidRPr="008F5B5A">
        <w:rPr>
          <w:rFonts w:eastAsia="Aptos"/>
        </w:rPr>
        <w:t xml:space="preserve">npatient </w:t>
      </w:r>
      <w:r w:rsidR="00887F32">
        <w:rPr>
          <w:rFonts w:eastAsia="Aptos"/>
        </w:rPr>
        <w:t>p</w:t>
      </w:r>
      <w:r w:rsidRPr="008F5B5A">
        <w:rPr>
          <w:rFonts w:eastAsia="Aptos"/>
        </w:rPr>
        <w:t xml:space="preserve">harmacy </w:t>
      </w:r>
      <w:r w:rsidR="00887F32">
        <w:rPr>
          <w:rFonts w:eastAsia="Aptos"/>
        </w:rPr>
        <w:t>o</w:t>
      </w:r>
      <w:r w:rsidRPr="008F5B5A">
        <w:rPr>
          <w:rFonts w:eastAsia="Aptos"/>
        </w:rPr>
        <w:t>perations. </w:t>
      </w:r>
      <w:r w:rsidRPr="008F5B5A">
        <w:rPr>
          <w:rFonts w:eastAsia="Aptos"/>
          <w:i/>
          <w:iCs/>
        </w:rPr>
        <w:t>Journal of Pharmacy Technology</w:t>
      </w:r>
      <w:r w:rsidRPr="008F5B5A">
        <w:rPr>
          <w:rFonts w:eastAsia="Aptos"/>
        </w:rPr>
        <w:t>, </w:t>
      </w:r>
      <w:r w:rsidRPr="008F5B5A">
        <w:rPr>
          <w:rFonts w:eastAsia="Aptos"/>
          <w:i/>
          <w:iCs/>
        </w:rPr>
        <w:t>38</w:t>
      </w:r>
      <w:r w:rsidRPr="008F5B5A">
        <w:rPr>
          <w:rFonts w:eastAsia="Aptos"/>
        </w:rPr>
        <w:t>(2), 88</w:t>
      </w:r>
      <w:r>
        <w:rPr>
          <w:rFonts w:eastAsia="Aptos"/>
        </w:rPr>
        <w:t>–</w:t>
      </w:r>
      <w:r w:rsidRPr="008F5B5A">
        <w:rPr>
          <w:rFonts w:eastAsia="Aptos"/>
        </w:rPr>
        <w:t xml:space="preserve">94. </w:t>
      </w:r>
      <w:hyperlink r:id="rId30" w:history="1">
        <w:r w:rsidR="00606B11" w:rsidRPr="00CF7158">
          <w:rPr>
            <w:rStyle w:val="Hyperlink"/>
            <w:rFonts w:eastAsia="Aptos"/>
          </w:rPr>
          <w:t>https://doi.org/10.1177/87551225211069001</w:t>
        </w:r>
      </w:hyperlink>
    </w:p>
    <w:bookmarkEnd w:id="43"/>
    <w:p w14:paraId="391C7BE8" w14:textId="23850FE6" w:rsidR="00CF2D19" w:rsidRDefault="00CF2D19" w:rsidP="00CF2D19">
      <w:pPr>
        <w:spacing w:line="480" w:lineRule="auto"/>
        <w:ind w:left="720" w:hanging="720"/>
        <w:contextualSpacing/>
        <w:rPr>
          <w:rFonts w:eastAsia="Aptos"/>
        </w:rPr>
      </w:pPr>
      <w:r w:rsidRPr="008F5B5A">
        <w:rPr>
          <w:rFonts w:eastAsia="Aptos"/>
        </w:rPr>
        <w:t xml:space="preserve">Gurr, D., Longmuir, F., &amp; Reed, C. (2021). Creating </w:t>
      </w:r>
      <w:r w:rsidR="0064743D">
        <w:rPr>
          <w:rFonts w:eastAsia="Aptos"/>
        </w:rPr>
        <w:t>s</w:t>
      </w:r>
      <w:r w:rsidRPr="008F5B5A">
        <w:rPr>
          <w:rFonts w:eastAsia="Aptos"/>
        </w:rPr>
        <w:t xml:space="preserve">uccessful and </w:t>
      </w:r>
      <w:r w:rsidR="0064743D">
        <w:rPr>
          <w:rFonts w:eastAsia="Aptos"/>
        </w:rPr>
        <w:t>u</w:t>
      </w:r>
      <w:r w:rsidRPr="008F5B5A">
        <w:rPr>
          <w:rFonts w:eastAsia="Aptos"/>
        </w:rPr>
        <w:t xml:space="preserve">nique </w:t>
      </w:r>
      <w:r w:rsidR="0064743D">
        <w:rPr>
          <w:rFonts w:eastAsia="Aptos"/>
        </w:rPr>
        <w:t>s</w:t>
      </w:r>
      <w:r w:rsidRPr="008F5B5A">
        <w:rPr>
          <w:rFonts w:eastAsia="Aptos"/>
        </w:rPr>
        <w:t xml:space="preserve">chools: </w:t>
      </w:r>
      <w:r w:rsidR="0064743D">
        <w:rPr>
          <w:rFonts w:eastAsia="Aptos"/>
        </w:rPr>
        <w:t>l</w:t>
      </w:r>
      <w:r w:rsidRPr="008F5B5A">
        <w:rPr>
          <w:rFonts w:eastAsia="Aptos"/>
        </w:rPr>
        <w:t xml:space="preserve">eadership, </w:t>
      </w:r>
      <w:r w:rsidR="0064743D">
        <w:rPr>
          <w:rFonts w:eastAsia="Aptos"/>
        </w:rPr>
        <w:t>c</w:t>
      </w:r>
      <w:r w:rsidRPr="008F5B5A">
        <w:rPr>
          <w:rFonts w:eastAsia="Aptos"/>
        </w:rPr>
        <w:t xml:space="preserve">ontext, and </w:t>
      </w:r>
      <w:r w:rsidR="0064743D">
        <w:rPr>
          <w:rFonts w:eastAsia="Aptos"/>
        </w:rPr>
        <w:t>systems-thinking perspectives</w:t>
      </w:r>
      <w:r w:rsidRPr="008F5B5A">
        <w:rPr>
          <w:rFonts w:eastAsia="Aptos"/>
        </w:rPr>
        <w:t>. </w:t>
      </w:r>
      <w:r w:rsidRPr="008F5B5A">
        <w:rPr>
          <w:rFonts w:eastAsia="Aptos"/>
          <w:i/>
          <w:iCs/>
        </w:rPr>
        <w:t>Journal of Educational Administration</w:t>
      </w:r>
      <w:r w:rsidRPr="008F5B5A">
        <w:rPr>
          <w:rFonts w:eastAsia="Aptos"/>
        </w:rPr>
        <w:t>, </w:t>
      </w:r>
      <w:r w:rsidRPr="008F5B5A">
        <w:rPr>
          <w:rFonts w:eastAsia="Aptos"/>
          <w:i/>
          <w:iCs/>
        </w:rPr>
        <w:t>59</w:t>
      </w:r>
      <w:r w:rsidRPr="008F5B5A">
        <w:rPr>
          <w:rFonts w:eastAsia="Aptos"/>
        </w:rPr>
        <w:t>(1), 59</w:t>
      </w:r>
      <w:r>
        <w:rPr>
          <w:rFonts w:eastAsia="Aptos"/>
        </w:rPr>
        <w:t>–</w:t>
      </w:r>
      <w:r w:rsidRPr="008F5B5A">
        <w:rPr>
          <w:rFonts w:eastAsia="Aptos"/>
        </w:rPr>
        <w:t xml:space="preserve">76. </w:t>
      </w:r>
      <w:hyperlink r:id="rId31" w:history="1">
        <w:r w:rsidR="00606B11" w:rsidRPr="00CF7158">
          <w:rPr>
            <w:rStyle w:val="Hyperlink"/>
            <w:rFonts w:eastAsia="Aptos"/>
          </w:rPr>
          <w:t>https://doi.org/10.1108/JEA-02-2020-0045</w:t>
        </w:r>
      </w:hyperlink>
    </w:p>
    <w:p w14:paraId="14CA4C26" w14:textId="0AB98980" w:rsidR="00CF2D19" w:rsidRDefault="00CF2D19" w:rsidP="00CF2D19">
      <w:pPr>
        <w:spacing w:line="480" w:lineRule="auto"/>
        <w:ind w:left="720" w:hanging="720"/>
        <w:contextualSpacing/>
        <w:rPr>
          <w:rFonts w:eastAsia="Aptos"/>
        </w:rPr>
      </w:pPr>
      <w:bookmarkStart w:id="46" w:name="_Hlk192677977"/>
      <w:bookmarkStart w:id="47" w:name="_Hlk192674564"/>
      <w:bookmarkStart w:id="48" w:name="_Hlk192524600"/>
      <w:bookmarkEnd w:id="44"/>
      <w:r w:rsidRPr="008F5B5A">
        <w:rPr>
          <w:rFonts w:eastAsia="Aptos"/>
        </w:rPr>
        <w:t xml:space="preserve">Hamad, M. M. E., &amp; Bah, S. (2022). Impact of </w:t>
      </w:r>
      <w:r w:rsidR="0064743D">
        <w:rPr>
          <w:rFonts w:eastAsia="Aptos"/>
        </w:rPr>
        <w:t>i</w:t>
      </w:r>
      <w:r w:rsidRPr="008F5B5A">
        <w:rPr>
          <w:rFonts w:eastAsia="Aptos"/>
        </w:rPr>
        <w:t xml:space="preserve">mplementing </w:t>
      </w:r>
      <w:r w:rsidR="0064743D">
        <w:rPr>
          <w:rFonts w:eastAsia="Aptos"/>
        </w:rPr>
        <w:t>e</w:t>
      </w:r>
      <w:r w:rsidRPr="008F5B5A">
        <w:rPr>
          <w:rFonts w:eastAsia="Aptos"/>
        </w:rPr>
        <w:t xml:space="preserve">lectronic </w:t>
      </w:r>
      <w:r w:rsidR="0064743D">
        <w:rPr>
          <w:rFonts w:eastAsia="Aptos"/>
        </w:rPr>
        <w:t>h</w:t>
      </w:r>
      <w:r w:rsidRPr="008F5B5A">
        <w:rPr>
          <w:rFonts w:eastAsia="Aptos"/>
        </w:rPr>
        <w:t xml:space="preserve">ealth </w:t>
      </w:r>
      <w:r w:rsidR="0064743D">
        <w:rPr>
          <w:rFonts w:eastAsia="Aptos"/>
        </w:rPr>
        <w:t>r</w:t>
      </w:r>
      <w:r w:rsidRPr="008F5B5A">
        <w:rPr>
          <w:rFonts w:eastAsia="Aptos"/>
        </w:rPr>
        <w:t xml:space="preserve">ecords on </w:t>
      </w:r>
      <w:r w:rsidR="0064743D">
        <w:rPr>
          <w:rFonts w:eastAsia="Aptos"/>
        </w:rPr>
        <w:t>m</w:t>
      </w:r>
      <w:r w:rsidRPr="008F5B5A">
        <w:rPr>
          <w:rFonts w:eastAsia="Aptos"/>
        </w:rPr>
        <w:t xml:space="preserve">edication </w:t>
      </w:r>
      <w:r w:rsidR="0064743D">
        <w:rPr>
          <w:rFonts w:eastAsia="Aptos"/>
        </w:rPr>
        <w:t>s</w:t>
      </w:r>
      <w:r w:rsidRPr="008F5B5A">
        <w:rPr>
          <w:rFonts w:eastAsia="Aptos"/>
        </w:rPr>
        <w:t xml:space="preserve">afety at a HIMSS Stage 6 Hospital: The </w:t>
      </w:r>
      <w:r w:rsidR="0064743D">
        <w:rPr>
          <w:rFonts w:eastAsia="Aptos"/>
        </w:rPr>
        <w:t>p</w:t>
      </w:r>
      <w:r w:rsidRPr="008F5B5A">
        <w:rPr>
          <w:rFonts w:eastAsia="Aptos"/>
        </w:rPr>
        <w:t xml:space="preserve">harmacist's </w:t>
      </w:r>
      <w:r w:rsidR="0064743D">
        <w:rPr>
          <w:rFonts w:eastAsia="Aptos"/>
        </w:rPr>
        <w:t>p</w:t>
      </w:r>
      <w:r w:rsidRPr="008F5B5A">
        <w:rPr>
          <w:rFonts w:eastAsia="Aptos"/>
        </w:rPr>
        <w:t>erspective. </w:t>
      </w:r>
      <w:r w:rsidRPr="008F5B5A">
        <w:rPr>
          <w:rFonts w:eastAsia="Aptos"/>
          <w:i/>
          <w:iCs/>
        </w:rPr>
        <w:t>The Canadian Journal of Hospital Pharmacy</w:t>
      </w:r>
      <w:r w:rsidRPr="008F5B5A">
        <w:rPr>
          <w:rFonts w:eastAsia="Aptos"/>
        </w:rPr>
        <w:t>, </w:t>
      </w:r>
      <w:r w:rsidRPr="008F5B5A">
        <w:rPr>
          <w:rFonts w:eastAsia="Aptos"/>
          <w:i/>
          <w:iCs/>
        </w:rPr>
        <w:t>75</w:t>
      </w:r>
      <w:r w:rsidRPr="008F5B5A">
        <w:rPr>
          <w:rFonts w:eastAsia="Aptos"/>
        </w:rPr>
        <w:t xml:space="preserve">(4), 267–275. </w:t>
      </w:r>
      <w:hyperlink r:id="rId32" w:history="1">
        <w:r w:rsidR="00606B11" w:rsidRPr="00CF7158">
          <w:rPr>
            <w:rStyle w:val="Hyperlink"/>
            <w:rFonts w:eastAsia="Aptos"/>
          </w:rPr>
          <w:t>https://doi.org/10.4212/cjhp.3223</w:t>
        </w:r>
      </w:hyperlink>
    </w:p>
    <w:bookmarkEnd w:id="46"/>
    <w:bookmarkEnd w:id="47"/>
    <w:p w14:paraId="2FD8119E" w14:textId="58A72AD4" w:rsidR="00CF2D19" w:rsidRDefault="00CF2D19" w:rsidP="00CF2D19">
      <w:pPr>
        <w:spacing w:line="480" w:lineRule="auto"/>
        <w:ind w:left="720" w:hanging="720"/>
        <w:contextualSpacing/>
        <w:rPr>
          <w:rFonts w:eastAsia="Aptos"/>
        </w:rPr>
      </w:pPr>
      <w:r w:rsidRPr="008F5B5A">
        <w:rPr>
          <w:rFonts w:eastAsia="Aptos"/>
        </w:rPr>
        <w:t xml:space="preserve">Heneghan, M. B., Hussain, T., Barrera, L., Cai, S. W., Haugen, M., Morgan, E., Rossoff, J., Weinstein, J., Hijiya, N., Cella, D., &amp; Badawy, S. M. (2021). Access to </w:t>
      </w:r>
      <w:r w:rsidR="0064743D">
        <w:rPr>
          <w:rFonts w:eastAsia="Aptos"/>
        </w:rPr>
        <w:lastRenderedPageBreak/>
        <w:t>t</w:t>
      </w:r>
      <w:r w:rsidRPr="008F5B5A">
        <w:rPr>
          <w:rFonts w:eastAsia="Aptos"/>
        </w:rPr>
        <w:t xml:space="preserve">echnology and </w:t>
      </w:r>
      <w:r w:rsidR="0064743D">
        <w:rPr>
          <w:rFonts w:eastAsia="Aptos"/>
        </w:rPr>
        <w:t>p</w:t>
      </w:r>
      <w:r w:rsidRPr="008F5B5A">
        <w:rPr>
          <w:rFonts w:eastAsia="Aptos"/>
        </w:rPr>
        <w:t xml:space="preserve">references for an mHealth </w:t>
      </w:r>
      <w:r w:rsidR="0064743D">
        <w:rPr>
          <w:rFonts w:eastAsia="Aptos"/>
        </w:rPr>
        <w:t>i</w:t>
      </w:r>
      <w:r w:rsidRPr="008F5B5A">
        <w:rPr>
          <w:rFonts w:eastAsia="Aptos"/>
        </w:rPr>
        <w:t xml:space="preserve">ntervention to </w:t>
      </w:r>
      <w:r w:rsidR="0064743D">
        <w:rPr>
          <w:rFonts w:eastAsia="Aptos"/>
        </w:rPr>
        <w:t>p</w:t>
      </w:r>
      <w:r w:rsidRPr="008F5B5A">
        <w:rPr>
          <w:rFonts w:eastAsia="Aptos"/>
        </w:rPr>
        <w:t xml:space="preserve">romote </w:t>
      </w:r>
      <w:r w:rsidR="0064743D">
        <w:rPr>
          <w:rFonts w:eastAsia="Aptos"/>
        </w:rPr>
        <w:t>m</w:t>
      </w:r>
      <w:r w:rsidRPr="008F5B5A">
        <w:rPr>
          <w:rFonts w:eastAsia="Aptos"/>
        </w:rPr>
        <w:t xml:space="preserve">edication </w:t>
      </w:r>
      <w:r w:rsidR="0064743D">
        <w:rPr>
          <w:rFonts w:eastAsia="Aptos"/>
        </w:rPr>
        <w:t>a</w:t>
      </w:r>
      <w:r w:rsidRPr="008F5B5A">
        <w:rPr>
          <w:rFonts w:eastAsia="Aptos"/>
        </w:rPr>
        <w:t xml:space="preserve">dherence in </w:t>
      </w:r>
      <w:r w:rsidR="0064743D">
        <w:rPr>
          <w:rFonts w:eastAsia="Aptos"/>
        </w:rPr>
        <w:t>p</w:t>
      </w:r>
      <w:r w:rsidRPr="008F5B5A">
        <w:rPr>
          <w:rFonts w:eastAsia="Aptos"/>
        </w:rPr>
        <w:t xml:space="preserve">ediatric </w:t>
      </w:r>
      <w:r w:rsidR="00232159">
        <w:rPr>
          <w:rFonts w:eastAsia="Aptos"/>
        </w:rPr>
        <w:t>a</w:t>
      </w:r>
      <w:r w:rsidRPr="008F5B5A">
        <w:rPr>
          <w:rFonts w:eastAsia="Aptos"/>
        </w:rPr>
        <w:t xml:space="preserve">cute </w:t>
      </w:r>
      <w:r w:rsidR="00232159">
        <w:rPr>
          <w:rFonts w:eastAsia="Aptos"/>
        </w:rPr>
        <w:t>l</w:t>
      </w:r>
      <w:r w:rsidRPr="008F5B5A">
        <w:rPr>
          <w:rFonts w:eastAsia="Aptos"/>
        </w:rPr>
        <w:t xml:space="preserve">ymphoblastic </w:t>
      </w:r>
      <w:r w:rsidR="00232159">
        <w:rPr>
          <w:rFonts w:eastAsia="Aptos"/>
        </w:rPr>
        <w:t>l</w:t>
      </w:r>
      <w:r w:rsidRPr="008F5B5A">
        <w:rPr>
          <w:rFonts w:eastAsia="Aptos"/>
        </w:rPr>
        <w:t xml:space="preserve">eukemia: An </w:t>
      </w:r>
      <w:r w:rsidR="00232159">
        <w:rPr>
          <w:rFonts w:eastAsia="Aptos"/>
        </w:rPr>
        <w:t>a</w:t>
      </w:r>
      <w:r w:rsidRPr="008F5B5A">
        <w:rPr>
          <w:rFonts w:eastAsia="Aptos"/>
        </w:rPr>
        <w:t xml:space="preserve">pproach </w:t>
      </w:r>
      <w:r w:rsidR="00232159">
        <w:rPr>
          <w:rFonts w:eastAsia="Aptos"/>
        </w:rPr>
        <w:t>l</w:t>
      </w:r>
      <w:r w:rsidRPr="008F5B5A">
        <w:rPr>
          <w:rFonts w:eastAsia="Aptos"/>
        </w:rPr>
        <w:t xml:space="preserve">everaging </w:t>
      </w:r>
      <w:r w:rsidR="00232159">
        <w:rPr>
          <w:rFonts w:eastAsia="Aptos"/>
        </w:rPr>
        <w:t>b</w:t>
      </w:r>
      <w:r w:rsidRPr="008F5B5A">
        <w:rPr>
          <w:rFonts w:eastAsia="Aptos"/>
        </w:rPr>
        <w:t xml:space="preserve">ehavior </w:t>
      </w:r>
      <w:r w:rsidR="00232159">
        <w:rPr>
          <w:rFonts w:eastAsia="Aptos"/>
        </w:rPr>
        <w:t>c</w:t>
      </w:r>
      <w:r w:rsidRPr="008F5B5A">
        <w:rPr>
          <w:rFonts w:eastAsia="Aptos"/>
        </w:rPr>
        <w:t xml:space="preserve">hange </w:t>
      </w:r>
      <w:r w:rsidR="00232159">
        <w:rPr>
          <w:rFonts w:eastAsia="Aptos"/>
        </w:rPr>
        <w:t>t</w:t>
      </w:r>
      <w:r w:rsidRPr="008F5B5A">
        <w:rPr>
          <w:rFonts w:eastAsia="Aptos"/>
        </w:rPr>
        <w:t>echniques. </w:t>
      </w:r>
      <w:r w:rsidRPr="008F5B5A">
        <w:rPr>
          <w:rFonts w:eastAsia="Aptos"/>
          <w:i/>
          <w:iCs/>
        </w:rPr>
        <w:t>Journal of Medical Internet Research</w:t>
      </w:r>
      <w:r w:rsidRPr="008F5B5A">
        <w:rPr>
          <w:rFonts w:eastAsia="Aptos"/>
        </w:rPr>
        <w:t>, </w:t>
      </w:r>
      <w:r w:rsidRPr="008F5B5A">
        <w:rPr>
          <w:rFonts w:eastAsia="Aptos"/>
          <w:i/>
          <w:iCs/>
        </w:rPr>
        <w:t>23</w:t>
      </w:r>
      <w:r w:rsidRPr="008F5B5A">
        <w:rPr>
          <w:rFonts w:eastAsia="Aptos"/>
        </w:rPr>
        <w:t xml:space="preserve">(2), e24893. </w:t>
      </w:r>
      <w:hyperlink r:id="rId33" w:history="1">
        <w:r w:rsidR="00606B11" w:rsidRPr="00CF7158">
          <w:rPr>
            <w:rStyle w:val="Hyperlink"/>
            <w:rFonts w:eastAsia="Aptos"/>
          </w:rPr>
          <w:t>https://doi.org/10.2196/24893</w:t>
        </w:r>
      </w:hyperlink>
    </w:p>
    <w:p w14:paraId="0F289CA3" w14:textId="423A432B" w:rsidR="00CF2D19" w:rsidRDefault="00CF2D19" w:rsidP="00CF2D19">
      <w:pPr>
        <w:spacing w:line="480" w:lineRule="auto"/>
        <w:ind w:left="720" w:hanging="720"/>
        <w:contextualSpacing/>
        <w:rPr>
          <w:rFonts w:eastAsia="Aptos"/>
        </w:rPr>
      </w:pPr>
      <w:r w:rsidRPr="008F5B5A">
        <w:rPr>
          <w:rFonts w:eastAsia="Aptos"/>
        </w:rPr>
        <w:t>Herrick, C. J., Humble, S., Hollar, L., Chang, S. H., Hunleth, J., McQueen, A., &amp; James, A. S. (2021). Cost-</w:t>
      </w:r>
      <w:r w:rsidR="00232159">
        <w:rPr>
          <w:rFonts w:eastAsia="Aptos"/>
        </w:rPr>
        <w:t>r</w:t>
      </w:r>
      <w:r w:rsidRPr="008F5B5A">
        <w:rPr>
          <w:rFonts w:eastAsia="Aptos"/>
        </w:rPr>
        <w:t xml:space="preserve">elated </w:t>
      </w:r>
      <w:r w:rsidR="00232159">
        <w:rPr>
          <w:rFonts w:eastAsia="Aptos"/>
        </w:rPr>
        <w:t>m</w:t>
      </w:r>
      <w:r w:rsidRPr="008F5B5A">
        <w:rPr>
          <w:rFonts w:eastAsia="Aptos"/>
        </w:rPr>
        <w:t xml:space="preserve">edication </w:t>
      </w:r>
      <w:r w:rsidR="00232159">
        <w:rPr>
          <w:rFonts w:eastAsia="Aptos"/>
        </w:rPr>
        <w:t>n</w:t>
      </w:r>
      <w:r w:rsidRPr="008F5B5A">
        <w:rPr>
          <w:rFonts w:eastAsia="Aptos"/>
        </w:rPr>
        <w:t xml:space="preserve">onadherence, </w:t>
      </w:r>
      <w:r w:rsidR="00232159">
        <w:rPr>
          <w:rFonts w:eastAsia="Aptos"/>
        </w:rPr>
        <w:t>c</w:t>
      </w:r>
      <w:r w:rsidRPr="008F5B5A">
        <w:rPr>
          <w:rFonts w:eastAsia="Aptos"/>
        </w:rPr>
        <w:t xml:space="preserve">ost </w:t>
      </w:r>
      <w:r w:rsidR="00232159">
        <w:rPr>
          <w:rFonts w:eastAsia="Aptos"/>
        </w:rPr>
        <w:t>c</w:t>
      </w:r>
      <w:r w:rsidRPr="008F5B5A">
        <w:rPr>
          <w:rFonts w:eastAsia="Aptos"/>
        </w:rPr>
        <w:t xml:space="preserve">oping </w:t>
      </w:r>
      <w:r w:rsidR="00232159">
        <w:rPr>
          <w:rFonts w:eastAsia="Aptos"/>
        </w:rPr>
        <w:t>b</w:t>
      </w:r>
      <w:r w:rsidRPr="008F5B5A">
        <w:rPr>
          <w:rFonts w:eastAsia="Aptos"/>
        </w:rPr>
        <w:t xml:space="preserve">ehaviors, and </w:t>
      </w:r>
      <w:r w:rsidR="00232159">
        <w:rPr>
          <w:rFonts w:eastAsia="Aptos"/>
        </w:rPr>
        <w:t>c</w:t>
      </w:r>
      <w:r w:rsidRPr="008F5B5A">
        <w:rPr>
          <w:rFonts w:eastAsia="Aptos"/>
        </w:rPr>
        <w:t xml:space="preserve">ost </w:t>
      </w:r>
      <w:r w:rsidR="00232159">
        <w:rPr>
          <w:rFonts w:eastAsia="Aptos"/>
        </w:rPr>
        <w:t>c</w:t>
      </w:r>
      <w:r w:rsidRPr="008F5B5A">
        <w:rPr>
          <w:rFonts w:eastAsia="Aptos"/>
        </w:rPr>
        <w:t xml:space="preserve">onversations among </w:t>
      </w:r>
      <w:r w:rsidR="00232159">
        <w:rPr>
          <w:rFonts w:eastAsia="Aptos"/>
        </w:rPr>
        <w:t>i</w:t>
      </w:r>
      <w:r w:rsidRPr="008F5B5A">
        <w:rPr>
          <w:rFonts w:eastAsia="Aptos"/>
        </w:rPr>
        <w:t xml:space="preserve">ndividuals with and without </w:t>
      </w:r>
      <w:r w:rsidR="00232159">
        <w:rPr>
          <w:rFonts w:eastAsia="Aptos"/>
        </w:rPr>
        <w:t>d</w:t>
      </w:r>
      <w:r w:rsidRPr="008F5B5A">
        <w:rPr>
          <w:rFonts w:eastAsia="Aptos"/>
        </w:rPr>
        <w:t>iabetes</w:t>
      </w:r>
      <w:r w:rsidR="00973470">
        <w:rPr>
          <w:rFonts w:eastAsia="Aptos"/>
        </w:rPr>
        <w:t>.</w:t>
      </w:r>
      <w:r w:rsidRPr="008F5B5A">
        <w:rPr>
          <w:rFonts w:eastAsia="Aptos"/>
        </w:rPr>
        <w:t> </w:t>
      </w:r>
      <w:r w:rsidRPr="008F5B5A">
        <w:rPr>
          <w:rFonts w:eastAsia="Aptos"/>
          <w:i/>
          <w:iCs/>
        </w:rPr>
        <w:t>Journal of General Internal Medicine</w:t>
      </w:r>
      <w:r w:rsidRPr="008F5B5A">
        <w:rPr>
          <w:rFonts w:eastAsia="Aptos"/>
        </w:rPr>
        <w:t>, </w:t>
      </w:r>
      <w:r w:rsidRPr="008F5B5A">
        <w:rPr>
          <w:rFonts w:eastAsia="Aptos"/>
          <w:i/>
          <w:iCs/>
        </w:rPr>
        <w:t>36</w:t>
      </w:r>
      <w:r w:rsidRPr="008F5B5A">
        <w:rPr>
          <w:rFonts w:eastAsia="Aptos"/>
        </w:rPr>
        <w:t>, 2867</w:t>
      </w:r>
      <w:r w:rsidR="00703BB6">
        <w:rPr>
          <w:rFonts w:eastAsia="Aptos"/>
        </w:rPr>
        <w:t>–</w:t>
      </w:r>
      <w:r w:rsidRPr="008F5B5A">
        <w:rPr>
          <w:rFonts w:eastAsia="Aptos"/>
        </w:rPr>
        <w:t xml:space="preserve">2869. </w:t>
      </w:r>
      <w:hyperlink r:id="rId34" w:history="1">
        <w:r w:rsidR="00606B11" w:rsidRPr="00CF7158">
          <w:rPr>
            <w:rStyle w:val="Hyperlink"/>
            <w:rFonts w:eastAsia="Aptos"/>
          </w:rPr>
          <w:t>https://doi.org/10.1007/s11606-020-06176-4</w:t>
        </w:r>
      </w:hyperlink>
    </w:p>
    <w:bookmarkEnd w:id="48"/>
    <w:p w14:paraId="240DE292" w14:textId="3323507A" w:rsidR="00CF2D19" w:rsidRDefault="00CF2D19" w:rsidP="00CF2D19">
      <w:pPr>
        <w:spacing w:line="480" w:lineRule="auto"/>
        <w:ind w:left="720" w:hanging="720"/>
        <w:contextualSpacing/>
        <w:rPr>
          <w:rFonts w:eastAsia="Aptos"/>
        </w:rPr>
      </w:pPr>
      <w:r w:rsidRPr="008F5B5A">
        <w:rPr>
          <w:rFonts w:eastAsia="Aptos"/>
        </w:rPr>
        <w:t xml:space="preserve">Hird, R., Radhakrishnan, R., &amp; Tsai, J. (2024). A </w:t>
      </w:r>
      <w:r w:rsidR="00973470">
        <w:rPr>
          <w:rFonts w:eastAsia="Aptos"/>
        </w:rPr>
        <w:t>s</w:t>
      </w:r>
      <w:r w:rsidRPr="008F5B5A">
        <w:rPr>
          <w:rFonts w:eastAsia="Aptos"/>
        </w:rPr>
        <w:t xml:space="preserve">ystematic </w:t>
      </w:r>
      <w:r w:rsidR="00973470">
        <w:rPr>
          <w:rFonts w:eastAsia="Aptos"/>
        </w:rPr>
        <w:t>r</w:t>
      </w:r>
      <w:r w:rsidRPr="008F5B5A">
        <w:rPr>
          <w:rFonts w:eastAsia="Aptos"/>
        </w:rPr>
        <w:t xml:space="preserve">eview of </w:t>
      </w:r>
      <w:r w:rsidR="00973470">
        <w:rPr>
          <w:rFonts w:eastAsia="Aptos"/>
        </w:rPr>
        <w:t>a</w:t>
      </w:r>
      <w:r w:rsidRPr="008F5B5A">
        <w:rPr>
          <w:rFonts w:eastAsia="Aptos"/>
        </w:rPr>
        <w:t xml:space="preserve">pproaches to </w:t>
      </w:r>
      <w:r w:rsidR="00973470">
        <w:rPr>
          <w:rFonts w:eastAsia="Aptos"/>
        </w:rPr>
        <w:t>i</w:t>
      </w:r>
      <w:r w:rsidRPr="008F5B5A">
        <w:rPr>
          <w:rFonts w:eastAsia="Aptos"/>
        </w:rPr>
        <w:t xml:space="preserve">mprove </w:t>
      </w:r>
      <w:r w:rsidR="00973470">
        <w:rPr>
          <w:rFonts w:eastAsia="Aptos"/>
        </w:rPr>
        <w:t>m</w:t>
      </w:r>
      <w:r w:rsidRPr="008F5B5A">
        <w:rPr>
          <w:rFonts w:eastAsia="Aptos"/>
        </w:rPr>
        <w:t xml:space="preserve">edication </w:t>
      </w:r>
      <w:r w:rsidR="00973470">
        <w:rPr>
          <w:rFonts w:eastAsia="Aptos"/>
        </w:rPr>
        <w:t>a</w:t>
      </w:r>
      <w:r w:rsidRPr="008F5B5A">
        <w:rPr>
          <w:rFonts w:eastAsia="Aptos"/>
        </w:rPr>
        <w:t xml:space="preserve">dherence in </w:t>
      </w:r>
      <w:r w:rsidR="00973470">
        <w:rPr>
          <w:rFonts w:eastAsia="Aptos"/>
        </w:rPr>
        <w:t>h</w:t>
      </w:r>
      <w:r w:rsidRPr="008F5B5A">
        <w:rPr>
          <w:rFonts w:eastAsia="Aptos"/>
        </w:rPr>
        <w:t xml:space="preserve">omeless </w:t>
      </w:r>
      <w:r w:rsidR="00973470">
        <w:rPr>
          <w:rFonts w:eastAsia="Aptos"/>
        </w:rPr>
        <w:t>a</w:t>
      </w:r>
      <w:r w:rsidRPr="008F5B5A">
        <w:rPr>
          <w:rFonts w:eastAsia="Aptos"/>
        </w:rPr>
        <w:t xml:space="preserve">dults with </w:t>
      </w:r>
      <w:r w:rsidR="00973470">
        <w:rPr>
          <w:rFonts w:eastAsia="Aptos"/>
        </w:rPr>
        <w:t>p</w:t>
      </w:r>
      <w:r w:rsidRPr="008F5B5A">
        <w:rPr>
          <w:rFonts w:eastAsia="Aptos"/>
        </w:rPr>
        <w:t xml:space="preserve">sychiatric </w:t>
      </w:r>
      <w:r w:rsidR="00973470">
        <w:rPr>
          <w:rFonts w:eastAsia="Aptos"/>
        </w:rPr>
        <w:t>d</w:t>
      </w:r>
      <w:r w:rsidRPr="008F5B5A">
        <w:rPr>
          <w:rFonts w:eastAsia="Aptos"/>
        </w:rPr>
        <w:t>isorders. </w:t>
      </w:r>
      <w:r w:rsidRPr="008F5B5A">
        <w:rPr>
          <w:rFonts w:eastAsia="Aptos"/>
          <w:i/>
          <w:iCs/>
        </w:rPr>
        <w:t>Frontiers in Psychiatry</w:t>
      </w:r>
      <w:r w:rsidRPr="008F5B5A">
        <w:rPr>
          <w:rFonts w:eastAsia="Aptos"/>
        </w:rPr>
        <w:t>, </w:t>
      </w:r>
      <w:r w:rsidRPr="008F5B5A">
        <w:rPr>
          <w:rFonts w:eastAsia="Aptos"/>
          <w:i/>
          <w:iCs/>
        </w:rPr>
        <w:t>14</w:t>
      </w:r>
      <w:r w:rsidRPr="008F5B5A">
        <w:rPr>
          <w:rFonts w:eastAsia="Aptos"/>
        </w:rPr>
        <w:t xml:space="preserve">, 1339801. </w:t>
      </w:r>
      <w:hyperlink r:id="rId35" w:history="1">
        <w:r w:rsidR="00606B11" w:rsidRPr="00CF7158">
          <w:rPr>
            <w:rStyle w:val="Hyperlink"/>
            <w:rFonts w:eastAsia="Aptos"/>
          </w:rPr>
          <w:t>https://doi.org/10.3389/fpsyt.2023.1339801</w:t>
        </w:r>
      </w:hyperlink>
    </w:p>
    <w:p w14:paraId="43B9CE36" w14:textId="1579EB0D" w:rsidR="00CF2D19" w:rsidRDefault="00CF2D19" w:rsidP="00CF2D19">
      <w:pPr>
        <w:spacing w:line="480" w:lineRule="auto"/>
        <w:ind w:left="720" w:hanging="720"/>
        <w:contextualSpacing/>
        <w:rPr>
          <w:rFonts w:eastAsia="Aptos"/>
        </w:rPr>
      </w:pPr>
      <w:bookmarkStart w:id="49" w:name="_Hlk192868696"/>
      <w:r w:rsidRPr="008F5B5A">
        <w:rPr>
          <w:rFonts w:eastAsia="Aptos"/>
        </w:rPr>
        <w:t>Houser</w:t>
      </w:r>
      <w:bookmarkEnd w:id="49"/>
      <w:r w:rsidRPr="008F5B5A">
        <w:rPr>
          <w:rFonts w:eastAsia="Aptos"/>
        </w:rPr>
        <w:t xml:space="preserve">, S. H., Flite, C. A., &amp; Foster, S. L. (2023). Privacy and </w:t>
      </w:r>
      <w:r w:rsidR="00973470">
        <w:rPr>
          <w:rFonts w:eastAsia="Aptos"/>
        </w:rPr>
        <w:t>s</w:t>
      </w:r>
      <w:r w:rsidRPr="008F5B5A">
        <w:rPr>
          <w:rFonts w:eastAsia="Aptos"/>
        </w:rPr>
        <w:t xml:space="preserve">ecurity </w:t>
      </w:r>
      <w:r w:rsidR="00973470">
        <w:rPr>
          <w:rFonts w:eastAsia="Aptos"/>
        </w:rPr>
        <w:t>r</w:t>
      </w:r>
      <w:r w:rsidRPr="008F5B5A">
        <w:rPr>
          <w:rFonts w:eastAsia="Aptos"/>
        </w:rPr>
        <w:t xml:space="preserve">isk </w:t>
      </w:r>
      <w:r w:rsidR="00973470">
        <w:rPr>
          <w:rFonts w:eastAsia="Aptos"/>
        </w:rPr>
        <w:t>f</w:t>
      </w:r>
      <w:r w:rsidRPr="008F5B5A">
        <w:rPr>
          <w:rFonts w:eastAsia="Aptos"/>
        </w:rPr>
        <w:t xml:space="preserve">actors </w:t>
      </w:r>
      <w:r w:rsidR="00973470">
        <w:rPr>
          <w:rFonts w:eastAsia="Aptos"/>
        </w:rPr>
        <w:t>r</w:t>
      </w:r>
      <w:r w:rsidRPr="008F5B5A">
        <w:rPr>
          <w:rFonts w:eastAsia="Aptos"/>
        </w:rPr>
        <w:t xml:space="preserve">elated to </w:t>
      </w:r>
      <w:r w:rsidR="00973470">
        <w:rPr>
          <w:rFonts w:eastAsia="Aptos"/>
        </w:rPr>
        <w:t>t</w:t>
      </w:r>
      <w:r w:rsidRPr="008F5B5A">
        <w:rPr>
          <w:rFonts w:eastAsia="Aptos"/>
        </w:rPr>
        <w:t xml:space="preserve">elehealth </w:t>
      </w:r>
      <w:r w:rsidR="00973470">
        <w:rPr>
          <w:rFonts w:eastAsia="Aptos"/>
        </w:rPr>
        <w:t>s</w:t>
      </w:r>
      <w:r w:rsidRPr="008F5B5A">
        <w:rPr>
          <w:rFonts w:eastAsia="Aptos"/>
        </w:rPr>
        <w:t xml:space="preserve">ervices: A </w:t>
      </w:r>
      <w:r w:rsidR="00973470">
        <w:rPr>
          <w:rFonts w:eastAsia="Aptos"/>
        </w:rPr>
        <w:t>s</w:t>
      </w:r>
      <w:r w:rsidRPr="008F5B5A">
        <w:rPr>
          <w:rFonts w:eastAsia="Aptos"/>
        </w:rPr>
        <w:t xml:space="preserve">ystematic </w:t>
      </w:r>
      <w:r w:rsidR="00973470">
        <w:rPr>
          <w:rFonts w:eastAsia="Aptos"/>
        </w:rPr>
        <w:t>r</w:t>
      </w:r>
      <w:r w:rsidRPr="008F5B5A">
        <w:rPr>
          <w:rFonts w:eastAsia="Aptos"/>
        </w:rPr>
        <w:t>eview. </w:t>
      </w:r>
      <w:r w:rsidRPr="008F5B5A">
        <w:rPr>
          <w:rFonts w:eastAsia="Aptos"/>
          <w:i/>
          <w:iCs/>
        </w:rPr>
        <w:t>Perspectives in Health Information Management</w:t>
      </w:r>
      <w:r w:rsidRPr="008F5B5A">
        <w:rPr>
          <w:rFonts w:eastAsia="Aptos"/>
        </w:rPr>
        <w:t>, </w:t>
      </w:r>
      <w:r w:rsidRPr="008F5B5A">
        <w:rPr>
          <w:rFonts w:eastAsia="Aptos"/>
          <w:i/>
          <w:iCs/>
        </w:rPr>
        <w:t>20</w:t>
      </w:r>
      <w:r w:rsidRPr="008F5B5A">
        <w:rPr>
          <w:rFonts w:eastAsia="Aptos"/>
        </w:rPr>
        <w:t xml:space="preserve">(1), 1f. </w:t>
      </w:r>
      <w:hyperlink r:id="rId36" w:history="1">
        <w:r w:rsidR="00606B11" w:rsidRPr="00CF7158">
          <w:rPr>
            <w:rStyle w:val="Hyperlink"/>
            <w:rFonts w:eastAsia="Aptos"/>
          </w:rPr>
          <w:t>https://pmc.ncbi.nlm.nih.gov/articles/PMC9860467/</w:t>
        </w:r>
      </w:hyperlink>
    </w:p>
    <w:p w14:paraId="4A28B8EB" w14:textId="45B07551" w:rsidR="00CF2D19" w:rsidRDefault="00CF2D19" w:rsidP="00CF2D19">
      <w:pPr>
        <w:spacing w:line="480" w:lineRule="auto"/>
        <w:ind w:left="720" w:hanging="720"/>
        <w:contextualSpacing/>
        <w:rPr>
          <w:rFonts w:eastAsia="Aptos"/>
        </w:rPr>
      </w:pPr>
      <w:r w:rsidRPr="008F5B5A">
        <w:rPr>
          <w:rFonts w:eastAsia="Aptos"/>
        </w:rPr>
        <w:t>Huber, M., Busch, A. K., Stalder-Ochsner, I., Flammer, A. J., &amp; Schmid-Mohler, G. (2024). Medication adherence in adults after hospitalization for heart failure: A cross-sectional study. </w:t>
      </w:r>
      <w:r w:rsidRPr="008F5B5A">
        <w:rPr>
          <w:rFonts w:eastAsia="Aptos"/>
          <w:i/>
          <w:iCs/>
        </w:rPr>
        <w:t>International Journal of Cardiology Cardiovascular Risk and Prevention</w:t>
      </w:r>
      <w:r w:rsidRPr="008F5B5A">
        <w:rPr>
          <w:rFonts w:eastAsia="Aptos"/>
        </w:rPr>
        <w:t>, </w:t>
      </w:r>
      <w:r w:rsidRPr="008F5B5A">
        <w:rPr>
          <w:rFonts w:eastAsia="Aptos"/>
          <w:i/>
          <w:iCs/>
        </w:rPr>
        <w:t>20</w:t>
      </w:r>
      <w:r w:rsidRPr="008F5B5A">
        <w:rPr>
          <w:rFonts w:eastAsia="Aptos"/>
        </w:rPr>
        <w:t xml:space="preserve">, 200234. </w:t>
      </w:r>
      <w:hyperlink r:id="rId37" w:history="1">
        <w:r w:rsidR="00606B11" w:rsidRPr="00CF7158">
          <w:rPr>
            <w:rStyle w:val="Hyperlink"/>
            <w:rFonts w:eastAsia="Aptos"/>
          </w:rPr>
          <w:t>https://doi.org/10.1016/j.ijcrp.2023.200234</w:t>
        </w:r>
      </w:hyperlink>
    </w:p>
    <w:p w14:paraId="174AFE45" w14:textId="68E1E303" w:rsidR="00CF2D19" w:rsidRDefault="00CF2D19" w:rsidP="00CF2D19">
      <w:pPr>
        <w:spacing w:line="480" w:lineRule="auto"/>
        <w:ind w:left="720" w:hanging="720"/>
        <w:contextualSpacing/>
        <w:rPr>
          <w:rFonts w:eastAsia="Aptos"/>
        </w:rPr>
      </w:pPr>
      <w:r w:rsidRPr="008F5B5A">
        <w:rPr>
          <w:rFonts w:eastAsia="Aptos"/>
        </w:rPr>
        <w:t>Iacovidou, E., Hahladakis, J. N., &amp; Purnell, P. (2021). A systems thinking approach to understanding the challenges of achieving the circular economy. </w:t>
      </w:r>
      <w:r w:rsidRPr="008F5B5A">
        <w:rPr>
          <w:rFonts w:eastAsia="Aptos"/>
          <w:i/>
          <w:iCs/>
        </w:rPr>
        <w:t xml:space="preserve">Environmental </w:t>
      </w:r>
      <w:r w:rsidRPr="008F5B5A">
        <w:rPr>
          <w:rFonts w:eastAsia="Aptos"/>
          <w:i/>
          <w:iCs/>
        </w:rPr>
        <w:lastRenderedPageBreak/>
        <w:t>Science and Pollution Research</w:t>
      </w:r>
      <w:r w:rsidRPr="008F5B5A">
        <w:rPr>
          <w:rFonts w:eastAsia="Aptos"/>
        </w:rPr>
        <w:t>, </w:t>
      </w:r>
      <w:r w:rsidRPr="008F5B5A">
        <w:rPr>
          <w:rFonts w:eastAsia="Aptos"/>
          <w:i/>
          <w:iCs/>
        </w:rPr>
        <w:t>28</w:t>
      </w:r>
      <w:r w:rsidRPr="008F5B5A">
        <w:rPr>
          <w:rFonts w:eastAsia="Aptos"/>
        </w:rPr>
        <w:t>, 24785</w:t>
      </w:r>
      <w:r w:rsidR="00376EC9">
        <w:rPr>
          <w:rFonts w:eastAsia="Aptos"/>
        </w:rPr>
        <w:t>–</w:t>
      </w:r>
      <w:r w:rsidRPr="008F5B5A">
        <w:rPr>
          <w:rFonts w:eastAsia="Aptos"/>
        </w:rPr>
        <w:t xml:space="preserve">24806. </w:t>
      </w:r>
      <w:hyperlink r:id="rId38" w:history="1">
        <w:r w:rsidR="00606B11" w:rsidRPr="00CF7158">
          <w:rPr>
            <w:rStyle w:val="Hyperlink"/>
            <w:rFonts w:eastAsia="Aptos"/>
          </w:rPr>
          <w:t>https://doi.org/10.1007/s11356-020-11725-9</w:t>
        </w:r>
      </w:hyperlink>
    </w:p>
    <w:p w14:paraId="330949F3" w14:textId="7F727BD3" w:rsidR="00CF2D19" w:rsidRPr="00B271FF" w:rsidRDefault="00CF2D19" w:rsidP="00CF2D19">
      <w:pPr>
        <w:spacing w:line="480" w:lineRule="auto"/>
        <w:ind w:left="720" w:hanging="720"/>
        <w:contextualSpacing/>
        <w:rPr>
          <w:rFonts w:eastAsia="Aptos"/>
          <w:lang w:val="fr-FR"/>
        </w:rPr>
      </w:pPr>
      <w:bookmarkStart w:id="50" w:name="_Hlk192678156"/>
      <w:bookmarkStart w:id="51" w:name="_Hlk192677017"/>
      <w:bookmarkStart w:id="52" w:name="_Hlk192524371"/>
      <w:bookmarkStart w:id="53" w:name="_Hlk192522684"/>
      <w:bookmarkStart w:id="54" w:name="_Hlk192522570"/>
      <w:bookmarkStart w:id="55" w:name="_Hlk192520386"/>
      <w:bookmarkEnd w:id="45"/>
      <w:r w:rsidRPr="008F5B5A">
        <w:rPr>
          <w:rFonts w:eastAsia="Aptos"/>
        </w:rPr>
        <w:t xml:space="preserve">Ibrahim, A. M., Abdel-Aziz, H. R., Mohamed, H. A. H., Zaghamir, D. E. F., Wahba, N. M. I., Hassan, G. A., Shaban, M., El-Nablaway, M., Aldughmi, O. N., &amp; Aboelola, T. H. (2024). Balancing </w:t>
      </w:r>
      <w:r w:rsidR="00376EC9">
        <w:rPr>
          <w:rFonts w:eastAsia="Aptos"/>
        </w:rPr>
        <w:t>c</w:t>
      </w:r>
      <w:r w:rsidRPr="008F5B5A">
        <w:rPr>
          <w:rFonts w:eastAsia="Aptos"/>
        </w:rPr>
        <w:t xml:space="preserve">onfidentiality and </w:t>
      </w:r>
      <w:r w:rsidR="00376EC9">
        <w:rPr>
          <w:rFonts w:eastAsia="Aptos"/>
        </w:rPr>
        <w:t>c</w:t>
      </w:r>
      <w:r w:rsidRPr="008F5B5A">
        <w:rPr>
          <w:rFonts w:eastAsia="Aptos"/>
        </w:rPr>
        <w:t xml:space="preserve">are </w:t>
      </w:r>
      <w:r w:rsidR="00376EC9">
        <w:rPr>
          <w:rFonts w:eastAsia="Aptos"/>
        </w:rPr>
        <w:t>c</w:t>
      </w:r>
      <w:r w:rsidRPr="008F5B5A">
        <w:rPr>
          <w:rFonts w:eastAsia="Aptos"/>
        </w:rPr>
        <w:t xml:space="preserve">oordination: </w:t>
      </w:r>
      <w:r w:rsidR="00376EC9">
        <w:rPr>
          <w:rFonts w:eastAsia="Aptos"/>
        </w:rPr>
        <w:t>c</w:t>
      </w:r>
      <w:r w:rsidRPr="008F5B5A">
        <w:rPr>
          <w:rFonts w:eastAsia="Aptos"/>
        </w:rPr>
        <w:t xml:space="preserve">hallenges in </w:t>
      </w:r>
      <w:r w:rsidR="00376EC9">
        <w:rPr>
          <w:rFonts w:eastAsia="Aptos"/>
        </w:rPr>
        <w:t>p</w:t>
      </w:r>
      <w:r w:rsidRPr="008F5B5A">
        <w:rPr>
          <w:rFonts w:eastAsia="Aptos"/>
        </w:rPr>
        <w:t xml:space="preserve">atient </w:t>
      </w:r>
      <w:r w:rsidR="00376EC9">
        <w:rPr>
          <w:rFonts w:eastAsia="Aptos"/>
        </w:rPr>
        <w:t>p</w:t>
      </w:r>
      <w:r w:rsidRPr="008F5B5A">
        <w:rPr>
          <w:rFonts w:eastAsia="Aptos"/>
        </w:rPr>
        <w:t>rivacy</w:t>
      </w:r>
      <w:r w:rsidRPr="008F5B5A">
        <w:rPr>
          <w:rFonts w:eastAsia="Aptos"/>
          <w:i/>
          <w:iCs/>
        </w:rPr>
        <w:t>. BMC Nursing</w:t>
      </w:r>
      <w:r w:rsidRPr="008F5B5A">
        <w:rPr>
          <w:rFonts w:eastAsia="Aptos"/>
        </w:rPr>
        <w:t>, </w:t>
      </w:r>
      <w:r w:rsidRPr="008F5B5A">
        <w:rPr>
          <w:rFonts w:eastAsia="Aptos"/>
          <w:i/>
          <w:iCs/>
        </w:rPr>
        <w:t>23</w:t>
      </w:r>
      <w:r w:rsidRPr="008F5B5A">
        <w:rPr>
          <w:rFonts w:eastAsia="Aptos"/>
        </w:rPr>
        <w:t xml:space="preserve">(1), 564. </w:t>
      </w:r>
      <w:hyperlink r:id="rId39" w:history="1">
        <w:r w:rsidR="00606B11" w:rsidRPr="00B271FF">
          <w:rPr>
            <w:rStyle w:val="Hyperlink"/>
            <w:rFonts w:eastAsia="Aptos"/>
            <w:lang w:val="fr-FR"/>
          </w:rPr>
          <w:t>https://doi.org/10.1186/s12912-024-02231-1</w:t>
        </w:r>
      </w:hyperlink>
    </w:p>
    <w:p w14:paraId="0666C18D" w14:textId="2E7F8AF5" w:rsidR="00CF2D19" w:rsidRDefault="00CF2D19" w:rsidP="00CF2D19">
      <w:pPr>
        <w:spacing w:line="480" w:lineRule="auto"/>
        <w:ind w:left="720" w:hanging="720"/>
        <w:contextualSpacing/>
        <w:rPr>
          <w:rFonts w:eastAsia="Aptos"/>
        </w:rPr>
      </w:pPr>
      <w:r w:rsidRPr="008F02C4">
        <w:rPr>
          <w:rFonts w:eastAsia="Aptos"/>
          <w:lang w:val="fr-FR"/>
        </w:rPr>
        <w:t xml:space="preserve">Iino, H., Kizaki, H., Imai, S., &amp; Hori, S. (2024). </w:t>
      </w:r>
      <w:r w:rsidRPr="008F5B5A">
        <w:rPr>
          <w:rFonts w:eastAsia="Aptos"/>
        </w:rPr>
        <w:t xml:space="preserve">Medication </w:t>
      </w:r>
      <w:r w:rsidR="00376EC9">
        <w:rPr>
          <w:rFonts w:eastAsia="Aptos"/>
        </w:rPr>
        <w:t>m</w:t>
      </w:r>
      <w:r w:rsidRPr="008F5B5A">
        <w:rPr>
          <w:rFonts w:eastAsia="Aptos"/>
        </w:rPr>
        <w:t xml:space="preserve">anagement </w:t>
      </w:r>
      <w:r w:rsidR="00376EC9">
        <w:rPr>
          <w:rFonts w:eastAsia="Aptos"/>
        </w:rPr>
        <w:t>i</w:t>
      </w:r>
      <w:r w:rsidRPr="008F5B5A">
        <w:rPr>
          <w:rFonts w:eastAsia="Aptos"/>
        </w:rPr>
        <w:t xml:space="preserve">nitiatives </w:t>
      </w:r>
      <w:r w:rsidR="00376EC9">
        <w:rPr>
          <w:rFonts w:eastAsia="Aptos"/>
        </w:rPr>
        <w:t>u</w:t>
      </w:r>
      <w:r w:rsidRPr="008F5B5A">
        <w:rPr>
          <w:rFonts w:eastAsia="Aptos"/>
        </w:rPr>
        <w:t xml:space="preserve">sing </w:t>
      </w:r>
      <w:r w:rsidR="00376EC9">
        <w:rPr>
          <w:rFonts w:eastAsia="Aptos"/>
        </w:rPr>
        <w:t>w</w:t>
      </w:r>
      <w:r w:rsidRPr="008F5B5A">
        <w:rPr>
          <w:rFonts w:eastAsia="Aptos"/>
        </w:rPr>
        <w:t xml:space="preserve">earable </w:t>
      </w:r>
      <w:r w:rsidR="00376EC9">
        <w:rPr>
          <w:rFonts w:eastAsia="Aptos"/>
        </w:rPr>
        <w:t>d</w:t>
      </w:r>
      <w:r w:rsidRPr="008F5B5A">
        <w:rPr>
          <w:rFonts w:eastAsia="Aptos"/>
        </w:rPr>
        <w:t xml:space="preserve">evices: </w:t>
      </w:r>
      <w:r w:rsidR="00B457DE">
        <w:rPr>
          <w:rFonts w:eastAsia="Aptos"/>
        </w:rPr>
        <w:t>A scoping review</w:t>
      </w:r>
      <w:r w:rsidRPr="008F5B5A">
        <w:rPr>
          <w:rFonts w:eastAsia="Aptos"/>
        </w:rPr>
        <w:t>. </w:t>
      </w:r>
      <w:r w:rsidRPr="008F5B5A">
        <w:rPr>
          <w:rFonts w:eastAsia="Aptos"/>
          <w:i/>
          <w:iCs/>
        </w:rPr>
        <w:t xml:space="preserve">JMIR </w:t>
      </w:r>
      <w:r w:rsidR="00AB4F16">
        <w:rPr>
          <w:rFonts w:eastAsia="Aptos"/>
          <w:i/>
          <w:iCs/>
        </w:rPr>
        <w:t>H</w:t>
      </w:r>
      <w:r w:rsidRPr="008F5B5A">
        <w:rPr>
          <w:rFonts w:eastAsia="Aptos"/>
          <w:i/>
          <w:iCs/>
        </w:rPr>
        <w:t xml:space="preserve">uman </w:t>
      </w:r>
      <w:r w:rsidR="00AB4F16">
        <w:rPr>
          <w:rFonts w:eastAsia="Aptos"/>
          <w:i/>
          <w:iCs/>
        </w:rPr>
        <w:t>F</w:t>
      </w:r>
      <w:r w:rsidRPr="008F5B5A">
        <w:rPr>
          <w:rFonts w:eastAsia="Aptos"/>
          <w:i/>
          <w:iCs/>
        </w:rPr>
        <w:t>actors</w:t>
      </w:r>
      <w:r w:rsidRPr="008F5B5A">
        <w:rPr>
          <w:rFonts w:eastAsia="Aptos"/>
        </w:rPr>
        <w:t>, </w:t>
      </w:r>
      <w:r w:rsidRPr="008F5B5A">
        <w:rPr>
          <w:rFonts w:eastAsia="Aptos"/>
          <w:i/>
          <w:iCs/>
        </w:rPr>
        <w:t>11</w:t>
      </w:r>
      <w:r w:rsidRPr="008F5B5A">
        <w:rPr>
          <w:rFonts w:eastAsia="Aptos"/>
        </w:rPr>
        <w:t xml:space="preserve">(1), e57652. </w:t>
      </w:r>
      <w:hyperlink r:id="rId40" w:history="1">
        <w:r w:rsidR="00606B11" w:rsidRPr="00CF7158">
          <w:rPr>
            <w:rStyle w:val="Hyperlink"/>
            <w:rFonts w:eastAsia="Aptos"/>
          </w:rPr>
          <w:t>https://doi.org/10.2196/57652</w:t>
        </w:r>
      </w:hyperlink>
    </w:p>
    <w:bookmarkEnd w:id="50"/>
    <w:p w14:paraId="2F1C02A2" w14:textId="39541A72" w:rsidR="00CF2D19" w:rsidRDefault="00CF2D19" w:rsidP="00CF2D19">
      <w:pPr>
        <w:spacing w:line="480" w:lineRule="auto"/>
        <w:ind w:left="720" w:hanging="720"/>
        <w:contextualSpacing/>
        <w:rPr>
          <w:rFonts w:eastAsia="Aptos"/>
        </w:rPr>
      </w:pPr>
      <w:r w:rsidRPr="008F5B5A">
        <w:rPr>
          <w:rFonts w:eastAsia="Aptos"/>
        </w:rPr>
        <w:t xml:space="preserve">Imeri, H., Toth, J., Arnold, A., &amp; Barnard, M. (2022). Application of the </w:t>
      </w:r>
      <w:r w:rsidR="00424F4A">
        <w:rPr>
          <w:rFonts w:eastAsia="Aptos"/>
        </w:rPr>
        <w:t>t</w:t>
      </w:r>
      <w:r w:rsidRPr="008F5B5A">
        <w:rPr>
          <w:rFonts w:eastAsia="Aptos"/>
        </w:rPr>
        <w:t xml:space="preserve">ranstheoretical </w:t>
      </w:r>
      <w:r w:rsidR="00424F4A">
        <w:rPr>
          <w:rFonts w:eastAsia="Aptos"/>
        </w:rPr>
        <w:t>m</w:t>
      </w:r>
      <w:r w:rsidRPr="008F5B5A">
        <w:rPr>
          <w:rFonts w:eastAsia="Aptos"/>
        </w:rPr>
        <w:t xml:space="preserve">odel in </w:t>
      </w:r>
      <w:r w:rsidR="00B457DE">
        <w:rPr>
          <w:rFonts w:eastAsia="Aptos"/>
        </w:rPr>
        <w:t>m</w:t>
      </w:r>
      <w:r w:rsidRPr="008F5B5A">
        <w:rPr>
          <w:rFonts w:eastAsia="Aptos"/>
        </w:rPr>
        <w:t xml:space="preserve">edication </w:t>
      </w:r>
      <w:r w:rsidR="00B457DE">
        <w:rPr>
          <w:rFonts w:eastAsia="Aptos"/>
        </w:rPr>
        <w:t>a</w:t>
      </w:r>
      <w:r w:rsidRPr="008F5B5A">
        <w:rPr>
          <w:rFonts w:eastAsia="Aptos"/>
        </w:rPr>
        <w:t xml:space="preserve">dherence: A </w:t>
      </w:r>
      <w:r w:rsidR="00B457DE">
        <w:rPr>
          <w:rFonts w:eastAsia="Aptos"/>
        </w:rPr>
        <w:t>s</w:t>
      </w:r>
      <w:r w:rsidRPr="008F5B5A">
        <w:rPr>
          <w:rFonts w:eastAsia="Aptos"/>
        </w:rPr>
        <w:t xml:space="preserve">ystematic </w:t>
      </w:r>
      <w:r w:rsidR="00B457DE">
        <w:rPr>
          <w:rFonts w:eastAsia="Aptos"/>
        </w:rPr>
        <w:t>r</w:t>
      </w:r>
      <w:r w:rsidRPr="008F5B5A">
        <w:rPr>
          <w:rFonts w:eastAsia="Aptos"/>
        </w:rPr>
        <w:t>eview. </w:t>
      </w:r>
      <w:r w:rsidRPr="008F5B5A">
        <w:rPr>
          <w:rFonts w:eastAsia="Aptos"/>
          <w:i/>
          <w:iCs/>
        </w:rPr>
        <w:t>Research in Social and Administrative Pharmacy</w:t>
      </w:r>
      <w:r w:rsidRPr="008F5B5A">
        <w:rPr>
          <w:rFonts w:eastAsia="Aptos"/>
        </w:rPr>
        <w:t>, </w:t>
      </w:r>
      <w:r w:rsidRPr="008F5B5A">
        <w:rPr>
          <w:rFonts w:eastAsia="Aptos"/>
          <w:i/>
          <w:iCs/>
        </w:rPr>
        <w:t>18</w:t>
      </w:r>
      <w:r w:rsidRPr="008F5B5A">
        <w:rPr>
          <w:rFonts w:eastAsia="Aptos"/>
        </w:rPr>
        <w:t>(5), 2778</w:t>
      </w:r>
      <w:r w:rsidR="00D06F95">
        <w:rPr>
          <w:rFonts w:eastAsia="Aptos"/>
        </w:rPr>
        <w:t>–</w:t>
      </w:r>
      <w:r w:rsidRPr="008F5B5A">
        <w:rPr>
          <w:rFonts w:eastAsia="Aptos"/>
        </w:rPr>
        <w:t xml:space="preserve">2785. </w:t>
      </w:r>
      <w:hyperlink r:id="rId41" w:history="1">
        <w:r w:rsidR="004267D0" w:rsidRPr="0096167F">
          <w:rPr>
            <w:rStyle w:val="Hyperlink"/>
            <w:rFonts w:eastAsia="Aptos"/>
          </w:rPr>
          <w:t>https://doi.org/10.1016/j.sapharm.2021.07.008</w:t>
        </w:r>
      </w:hyperlink>
      <w:bookmarkEnd w:id="51"/>
    </w:p>
    <w:p w14:paraId="2A44F609" w14:textId="6849309E" w:rsidR="004267D0" w:rsidRPr="008F5B5A" w:rsidRDefault="004267D0" w:rsidP="00CF2D19">
      <w:pPr>
        <w:spacing w:line="480" w:lineRule="auto"/>
        <w:ind w:left="720" w:hanging="720"/>
        <w:contextualSpacing/>
        <w:rPr>
          <w:rFonts w:eastAsia="Aptos"/>
        </w:rPr>
      </w:pPr>
      <w:r>
        <w:rPr>
          <w:rFonts w:eastAsia="Aptos"/>
        </w:rPr>
        <w:t xml:space="preserve">IMCNC. (2024). </w:t>
      </w:r>
      <w:r w:rsidR="00F13ABA">
        <w:rPr>
          <w:rFonts w:eastAsia="Aptos"/>
        </w:rPr>
        <w:t xml:space="preserve">Welcome to NC; Holistic Medicine between Chapel Hill &amp; Durham, North Carolina. Retrieved from: </w:t>
      </w:r>
      <w:r w:rsidR="00DE3794" w:rsidRPr="00DE3794">
        <w:rPr>
          <w:rFonts w:eastAsia="Aptos"/>
        </w:rPr>
        <w:t>https://imcnorthcarolina.com/</w:t>
      </w:r>
    </w:p>
    <w:p w14:paraId="609DD478" w14:textId="08DC46C1" w:rsidR="00CF2D19" w:rsidRPr="008F5B5A" w:rsidRDefault="00CF2D19" w:rsidP="00CF2D19">
      <w:pPr>
        <w:spacing w:line="480" w:lineRule="auto"/>
        <w:ind w:left="720" w:hanging="720"/>
        <w:contextualSpacing/>
        <w:rPr>
          <w:rFonts w:eastAsia="Aptos"/>
        </w:rPr>
      </w:pPr>
      <w:bookmarkStart w:id="56" w:name="_Hlk192681502"/>
      <w:r w:rsidRPr="008F5B5A">
        <w:rPr>
          <w:rFonts w:eastAsia="Aptos"/>
        </w:rPr>
        <w:t xml:space="preserve">Insani, W. N., Zakiyah, N., Puspitasari, I. M., Permana, M. Y., Parmikanti, K., Rusyaman, E., &amp; Suwantika, A. A. (2025). Digital </w:t>
      </w:r>
      <w:r w:rsidR="00B457DE">
        <w:rPr>
          <w:rFonts w:eastAsia="Aptos"/>
        </w:rPr>
        <w:t>h</w:t>
      </w:r>
      <w:r w:rsidRPr="008F5B5A">
        <w:rPr>
          <w:rFonts w:eastAsia="Aptos"/>
        </w:rPr>
        <w:t xml:space="preserve">ealth </w:t>
      </w:r>
      <w:r w:rsidR="00B457DE">
        <w:rPr>
          <w:rFonts w:eastAsia="Aptos"/>
        </w:rPr>
        <w:t>t</w:t>
      </w:r>
      <w:r w:rsidRPr="008F5B5A">
        <w:rPr>
          <w:rFonts w:eastAsia="Aptos"/>
        </w:rPr>
        <w:t xml:space="preserve">echnology </w:t>
      </w:r>
      <w:r w:rsidR="00B457DE">
        <w:rPr>
          <w:rFonts w:eastAsia="Aptos"/>
        </w:rPr>
        <w:t>i</w:t>
      </w:r>
      <w:r w:rsidRPr="008F5B5A">
        <w:rPr>
          <w:rFonts w:eastAsia="Aptos"/>
        </w:rPr>
        <w:t xml:space="preserve">nterventions for </w:t>
      </w:r>
      <w:r w:rsidR="00B457DE">
        <w:rPr>
          <w:rFonts w:eastAsia="Aptos"/>
        </w:rPr>
        <w:t>i</w:t>
      </w:r>
      <w:r w:rsidRPr="008F5B5A">
        <w:rPr>
          <w:rFonts w:eastAsia="Aptos"/>
        </w:rPr>
        <w:t xml:space="preserve">mproving </w:t>
      </w:r>
      <w:r w:rsidR="00B457DE">
        <w:rPr>
          <w:rFonts w:eastAsia="Aptos"/>
        </w:rPr>
        <w:t>m</w:t>
      </w:r>
      <w:r w:rsidRPr="008F5B5A">
        <w:rPr>
          <w:rFonts w:eastAsia="Aptos"/>
        </w:rPr>
        <w:t xml:space="preserve">edication </w:t>
      </w:r>
      <w:r w:rsidR="00B457DE">
        <w:rPr>
          <w:rFonts w:eastAsia="Aptos"/>
        </w:rPr>
        <w:t>s</w:t>
      </w:r>
      <w:r w:rsidRPr="008F5B5A">
        <w:rPr>
          <w:rFonts w:eastAsia="Aptos"/>
        </w:rPr>
        <w:t xml:space="preserve">afety: Systematic </w:t>
      </w:r>
      <w:r w:rsidR="00B457DE">
        <w:rPr>
          <w:rFonts w:eastAsia="Aptos"/>
        </w:rPr>
        <w:t>r</w:t>
      </w:r>
      <w:r w:rsidRPr="008F5B5A">
        <w:rPr>
          <w:rFonts w:eastAsia="Aptos"/>
        </w:rPr>
        <w:t xml:space="preserve">eview of </w:t>
      </w:r>
      <w:r w:rsidR="00B457DE">
        <w:rPr>
          <w:rFonts w:eastAsia="Aptos"/>
        </w:rPr>
        <w:t>e</w:t>
      </w:r>
      <w:r w:rsidRPr="008F5B5A">
        <w:rPr>
          <w:rFonts w:eastAsia="Aptos"/>
        </w:rPr>
        <w:t xml:space="preserve">conomic </w:t>
      </w:r>
      <w:r w:rsidR="00B457DE">
        <w:rPr>
          <w:rFonts w:eastAsia="Aptos"/>
        </w:rPr>
        <w:t>e</w:t>
      </w:r>
      <w:r w:rsidRPr="008F5B5A">
        <w:rPr>
          <w:rFonts w:eastAsia="Aptos"/>
        </w:rPr>
        <w:t>valuations. </w:t>
      </w:r>
      <w:r w:rsidRPr="008F5B5A">
        <w:rPr>
          <w:rFonts w:eastAsia="Aptos"/>
          <w:i/>
          <w:iCs/>
        </w:rPr>
        <w:t>Journal of Medical Internet Research</w:t>
      </w:r>
      <w:r w:rsidRPr="008F5B5A">
        <w:rPr>
          <w:rFonts w:eastAsia="Aptos"/>
        </w:rPr>
        <w:t>, </w:t>
      </w:r>
      <w:r w:rsidRPr="008F5B5A">
        <w:rPr>
          <w:rFonts w:eastAsia="Aptos"/>
          <w:i/>
          <w:iCs/>
        </w:rPr>
        <w:t>27</w:t>
      </w:r>
      <w:r w:rsidRPr="008F5B5A">
        <w:rPr>
          <w:rFonts w:eastAsia="Aptos"/>
        </w:rPr>
        <w:t xml:space="preserve">, e65546. </w:t>
      </w:r>
      <w:hyperlink r:id="rId42" w:history="1">
        <w:r w:rsidRPr="008F5B5A">
          <w:rPr>
            <w:rStyle w:val="Hyperlink"/>
            <w:rFonts w:eastAsia="Aptos"/>
          </w:rPr>
          <w:t>https://doi.org/10.2196/65546</w:t>
        </w:r>
      </w:hyperlink>
    </w:p>
    <w:p w14:paraId="21ECF4B5" w14:textId="296BD4FB" w:rsidR="00CF2D19" w:rsidRDefault="00CF2D19" w:rsidP="00CF2D19">
      <w:pPr>
        <w:spacing w:line="480" w:lineRule="auto"/>
        <w:ind w:left="720" w:hanging="720"/>
        <w:contextualSpacing/>
        <w:rPr>
          <w:rFonts w:eastAsia="Aptos"/>
        </w:rPr>
      </w:pPr>
      <w:r w:rsidRPr="008F5B5A">
        <w:rPr>
          <w:rFonts w:eastAsia="Aptos"/>
        </w:rPr>
        <w:t xml:space="preserve">Issitt, </w:t>
      </w:r>
      <w:r w:rsidR="00D06F95">
        <w:rPr>
          <w:rFonts w:eastAsia="Aptos"/>
        </w:rPr>
        <w:t>M.</w:t>
      </w:r>
      <w:r w:rsidRPr="008F5B5A">
        <w:rPr>
          <w:rFonts w:eastAsia="Aptos"/>
        </w:rPr>
        <w:t xml:space="preserve"> (2024). General Systems Theory. Ludwig von Bertalanffy was an Austrian theoretical biologist and philosopher whose postwar research led to the emergence </w:t>
      </w:r>
      <w:r w:rsidRPr="008F5B5A">
        <w:rPr>
          <w:rFonts w:eastAsia="Aptos"/>
        </w:rPr>
        <w:lastRenderedPageBreak/>
        <w:t>of GST as a unique field of science</w:t>
      </w:r>
      <w:r w:rsidR="001D2987">
        <w:rPr>
          <w:rFonts w:eastAsia="Aptos"/>
        </w:rPr>
        <w:t xml:space="preserve">. Retrieved from: </w:t>
      </w:r>
      <w:hyperlink r:id="rId43" w:history="1">
        <w:r w:rsidR="00606B11" w:rsidRPr="00CF7158">
          <w:rPr>
            <w:rStyle w:val="Hyperlink"/>
            <w:rFonts w:eastAsia="Aptos"/>
          </w:rPr>
          <w:t>https://www.ebsco.com/research-starters/history/general-systems-theory</w:t>
        </w:r>
      </w:hyperlink>
    </w:p>
    <w:bookmarkEnd w:id="56"/>
    <w:p w14:paraId="1A7499ED" w14:textId="77777777" w:rsidR="00CF2D19" w:rsidRDefault="00CF2D19" w:rsidP="00CF2D19">
      <w:pPr>
        <w:spacing w:line="480" w:lineRule="auto"/>
        <w:ind w:left="720" w:hanging="720"/>
        <w:contextualSpacing/>
        <w:rPr>
          <w:rFonts w:eastAsia="Aptos"/>
        </w:rPr>
      </w:pPr>
      <w:r w:rsidRPr="008F02C4">
        <w:rPr>
          <w:rFonts w:eastAsia="Aptos"/>
          <w:lang w:val="es-ES"/>
        </w:rPr>
        <w:t xml:space="preserve">Jansen, E. M., van de Hei, S. J., Dierick, B. J., Kerstjens, H. A., Kocks, J. W., &amp; van Boven, J. F. (2021). </w:t>
      </w:r>
      <w:r w:rsidRPr="008F5B5A">
        <w:rPr>
          <w:rFonts w:eastAsia="Aptos"/>
        </w:rPr>
        <w:t>Global burden of medication non-adherence in chronic obstructive pulmonary disease (COPD) and asthma: a narrative review of the clinical and economic case for smart inhalers. </w:t>
      </w:r>
      <w:r w:rsidRPr="008F5B5A">
        <w:rPr>
          <w:rFonts w:eastAsia="Aptos"/>
          <w:i/>
          <w:iCs/>
        </w:rPr>
        <w:t>Journal of Thoracic Disease</w:t>
      </w:r>
      <w:r w:rsidRPr="008F5B5A">
        <w:rPr>
          <w:rFonts w:eastAsia="Aptos"/>
        </w:rPr>
        <w:t>, </w:t>
      </w:r>
      <w:r w:rsidRPr="008F5B5A">
        <w:rPr>
          <w:rFonts w:eastAsia="Aptos"/>
          <w:i/>
          <w:iCs/>
        </w:rPr>
        <w:t>13</w:t>
      </w:r>
      <w:r w:rsidRPr="008F5B5A">
        <w:rPr>
          <w:rFonts w:eastAsia="Aptos"/>
        </w:rPr>
        <w:t>(6), 3846. https://doi.org/ 10.21037/jtd-20-2360</w:t>
      </w:r>
    </w:p>
    <w:p w14:paraId="0641C83B" w14:textId="0B60B595" w:rsidR="00CF2D19" w:rsidRDefault="00CF2D19" w:rsidP="00CF2D19">
      <w:pPr>
        <w:spacing w:line="480" w:lineRule="auto"/>
        <w:ind w:left="720" w:hanging="720"/>
        <w:contextualSpacing/>
        <w:rPr>
          <w:rFonts w:eastAsia="Aptos"/>
        </w:rPr>
      </w:pPr>
      <w:bookmarkStart w:id="57" w:name="_Hlk192769166"/>
      <w:bookmarkEnd w:id="52"/>
      <w:r w:rsidRPr="008F5B5A">
        <w:rPr>
          <w:rFonts w:eastAsia="Aptos"/>
        </w:rPr>
        <w:t>Jason, L. A., &amp; Bobak</w:t>
      </w:r>
      <w:bookmarkEnd w:id="57"/>
      <w:r w:rsidRPr="008F5B5A">
        <w:rPr>
          <w:rFonts w:eastAsia="Aptos"/>
        </w:rPr>
        <w:t>, T. (2022). Using systems theory to improve intervention outcomes. </w:t>
      </w:r>
      <w:r w:rsidRPr="008F5B5A">
        <w:rPr>
          <w:rFonts w:eastAsia="Aptos"/>
          <w:i/>
          <w:iCs/>
        </w:rPr>
        <w:t>Professional Psychology, Research and Practice</w:t>
      </w:r>
      <w:r w:rsidRPr="008F5B5A">
        <w:rPr>
          <w:rFonts w:eastAsia="Aptos"/>
        </w:rPr>
        <w:t>, </w:t>
      </w:r>
      <w:r w:rsidRPr="008F5B5A">
        <w:rPr>
          <w:rFonts w:eastAsia="Aptos"/>
          <w:i/>
          <w:iCs/>
        </w:rPr>
        <w:t>53</w:t>
      </w:r>
      <w:r w:rsidRPr="008F5B5A">
        <w:rPr>
          <w:rFonts w:eastAsia="Aptos"/>
        </w:rPr>
        <w:t xml:space="preserve">(4), 415–422. </w:t>
      </w:r>
      <w:hyperlink r:id="rId44" w:history="1">
        <w:r w:rsidR="00606B11" w:rsidRPr="00CF7158">
          <w:rPr>
            <w:rStyle w:val="Hyperlink"/>
            <w:rFonts w:eastAsia="Aptos"/>
          </w:rPr>
          <w:t>https://doi.org/10.1037/pro0000467</w:t>
        </w:r>
      </w:hyperlink>
    </w:p>
    <w:p w14:paraId="24AB3C94" w14:textId="6052D13C" w:rsidR="00CF2D19" w:rsidRDefault="00CF2D19" w:rsidP="00CF2D19">
      <w:pPr>
        <w:spacing w:line="480" w:lineRule="auto"/>
        <w:ind w:left="720" w:hanging="720"/>
        <w:contextualSpacing/>
        <w:rPr>
          <w:rFonts w:eastAsia="Aptos"/>
        </w:rPr>
      </w:pPr>
      <w:r w:rsidRPr="008F5B5A">
        <w:rPr>
          <w:rFonts w:eastAsia="Aptos"/>
        </w:rPr>
        <w:t>Javaid, M., Haleem, A., &amp; Singh, R. P. (2024). Health informatics to enhance the healthcare industry's culture: An extensive analysis of its features, contributions, applications, and limitations. </w:t>
      </w:r>
      <w:r w:rsidRPr="008F5B5A">
        <w:rPr>
          <w:rFonts w:eastAsia="Aptos"/>
          <w:i/>
          <w:iCs/>
        </w:rPr>
        <w:t>Informatics and Health</w:t>
      </w:r>
      <w:r w:rsidRPr="008F5B5A">
        <w:rPr>
          <w:rFonts w:eastAsia="Aptos"/>
        </w:rPr>
        <w:t>, </w:t>
      </w:r>
      <w:r w:rsidRPr="008F5B5A">
        <w:rPr>
          <w:rFonts w:eastAsia="Aptos"/>
          <w:i/>
          <w:iCs/>
        </w:rPr>
        <w:t>1</w:t>
      </w:r>
      <w:r w:rsidRPr="008F5B5A">
        <w:rPr>
          <w:rFonts w:eastAsia="Aptos"/>
        </w:rPr>
        <w:t>(2), 123</w:t>
      </w:r>
      <w:r w:rsidR="00B457DE">
        <w:rPr>
          <w:rFonts w:eastAsia="Aptos"/>
        </w:rPr>
        <w:t>–</w:t>
      </w:r>
      <w:r w:rsidRPr="008F5B5A">
        <w:rPr>
          <w:rFonts w:eastAsia="Aptos"/>
        </w:rPr>
        <w:t xml:space="preserve">148. </w:t>
      </w:r>
      <w:hyperlink r:id="rId45" w:history="1">
        <w:r w:rsidR="00606B11" w:rsidRPr="00CF7158">
          <w:rPr>
            <w:rStyle w:val="Hyperlink"/>
            <w:rFonts w:eastAsia="Aptos"/>
          </w:rPr>
          <w:t>https://doi.org/10.1016/j.infoh.2024.05.001</w:t>
        </w:r>
      </w:hyperlink>
    </w:p>
    <w:p w14:paraId="583FB5A2" w14:textId="4041CF39" w:rsidR="00CF2D19" w:rsidRDefault="00CF2D19" w:rsidP="00CF2D19">
      <w:pPr>
        <w:spacing w:line="480" w:lineRule="auto"/>
        <w:ind w:left="720" w:hanging="720"/>
        <w:contextualSpacing/>
        <w:rPr>
          <w:rFonts w:eastAsia="Aptos"/>
        </w:rPr>
      </w:pPr>
      <w:r w:rsidRPr="008F5B5A">
        <w:rPr>
          <w:rFonts w:eastAsia="Aptos"/>
        </w:rPr>
        <w:t>Jayasree, A., Shanmuganathan, P., Ramamurthy, P., &amp; Alwar, M. C. (2024). Types of medication non-adherence &amp; approaches to enhance medication adherence in mental health disorders: A narrative review. </w:t>
      </w:r>
      <w:r w:rsidRPr="008F5B5A">
        <w:rPr>
          <w:rFonts w:eastAsia="Aptos"/>
          <w:i/>
          <w:iCs/>
        </w:rPr>
        <w:t>Indian Journal of Psychological Medicine</w:t>
      </w:r>
      <w:r w:rsidRPr="008F5B5A">
        <w:rPr>
          <w:rFonts w:eastAsia="Aptos"/>
        </w:rPr>
        <w:t>, </w:t>
      </w:r>
      <w:r w:rsidRPr="008F5B5A">
        <w:rPr>
          <w:rFonts w:eastAsia="Aptos"/>
          <w:i/>
          <w:iCs/>
        </w:rPr>
        <w:t>46</w:t>
      </w:r>
      <w:r w:rsidRPr="008F5B5A">
        <w:rPr>
          <w:rFonts w:eastAsia="Aptos"/>
        </w:rPr>
        <w:t>(6), 503</w:t>
      </w:r>
      <w:r w:rsidR="00D06F95">
        <w:rPr>
          <w:rFonts w:eastAsia="Aptos"/>
        </w:rPr>
        <w:t>–</w:t>
      </w:r>
      <w:r w:rsidRPr="008F5B5A">
        <w:rPr>
          <w:rFonts w:eastAsia="Aptos"/>
        </w:rPr>
        <w:t xml:space="preserve">510. </w:t>
      </w:r>
      <w:hyperlink r:id="rId46" w:history="1">
        <w:r w:rsidR="00606B11" w:rsidRPr="00CF7158">
          <w:rPr>
            <w:rStyle w:val="Hyperlink"/>
            <w:rFonts w:eastAsia="Aptos"/>
          </w:rPr>
          <w:t>https://doi.org/10.1177/02537176241233745</w:t>
        </w:r>
      </w:hyperlink>
    </w:p>
    <w:p w14:paraId="1F27E6B7" w14:textId="3F97B2AE" w:rsidR="00CF2D19" w:rsidRDefault="00CF2D19" w:rsidP="00CF2D19">
      <w:pPr>
        <w:spacing w:line="480" w:lineRule="auto"/>
        <w:ind w:left="720" w:hanging="720"/>
        <w:contextualSpacing/>
        <w:rPr>
          <w:rFonts w:eastAsia="Aptos"/>
        </w:rPr>
      </w:pPr>
      <w:bookmarkStart w:id="58" w:name="_Hlk192680631"/>
      <w:bookmarkStart w:id="59" w:name="_Hlk192522822"/>
      <w:bookmarkEnd w:id="53"/>
      <w:r w:rsidRPr="008F5B5A">
        <w:rPr>
          <w:rFonts w:eastAsia="Aptos"/>
        </w:rPr>
        <w:t>Juba, O. O., Olumide, A. F., David, J. I., &amp; Adekunle, K. A. (2024). The role of technology in enhancing domiciliary care: A strategy for reducing healthcare costs and improving safety for aged adults and carers. </w:t>
      </w:r>
      <w:r w:rsidRPr="008F5B5A">
        <w:rPr>
          <w:rFonts w:eastAsia="Aptos"/>
          <w:i/>
          <w:iCs/>
        </w:rPr>
        <w:t>International Bulletin of History and Social Science</w:t>
      </w:r>
      <w:r w:rsidRPr="008F5B5A">
        <w:rPr>
          <w:rFonts w:eastAsia="Aptos"/>
        </w:rPr>
        <w:t>, </w:t>
      </w:r>
      <w:r w:rsidRPr="008F5B5A">
        <w:rPr>
          <w:rFonts w:eastAsia="Aptos"/>
          <w:i/>
          <w:iCs/>
        </w:rPr>
        <w:t>1</w:t>
      </w:r>
      <w:r w:rsidRPr="008F5B5A">
        <w:rPr>
          <w:rFonts w:eastAsia="Aptos"/>
        </w:rPr>
        <w:t>(3), 35</w:t>
      </w:r>
      <w:r w:rsidR="00D06F95">
        <w:rPr>
          <w:rFonts w:eastAsia="Aptos"/>
        </w:rPr>
        <w:t>–</w:t>
      </w:r>
      <w:r w:rsidRPr="008F5B5A">
        <w:rPr>
          <w:rFonts w:eastAsia="Aptos"/>
        </w:rPr>
        <w:t xml:space="preserve">55. </w:t>
      </w:r>
      <w:hyperlink r:id="rId47" w:history="1">
        <w:r w:rsidR="00606B11" w:rsidRPr="00CF7158">
          <w:rPr>
            <w:rStyle w:val="Hyperlink"/>
            <w:rFonts w:eastAsia="Aptos"/>
          </w:rPr>
          <w:t>https://ibhss.com/index.php/ibhss/article/view/28</w:t>
        </w:r>
      </w:hyperlink>
    </w:p>
    <w:bookmarkEnd w:id="58"/>
    <w:p w14:paraId="58CAAC4E" w14:textId="71721730" w:rsidR="00CF2D19" w:rsidRDefault="00CF2D19" w:rsidP="00CF2D19">
      <w:pPr>
        <w:spacing w:line="480" w:lineRule="auto"/>
        <w:ind w:left="720" w:hanging="720"/>
        <w:contextualSpacing/>
        <w:rPr>
          <w:rFonts w:eastAsia="Aptos"/>
        </w:rPr>
      </w:pPr>
      <w:r w:rsidRPr="008F5B5A">
        <w:rPr>
          <w:rFonts w:eastAsia="Aptos"/>
        </w:rPr>
        <w:lastRenderedPageBreak/>
        <w:t>Kardas, P. (2024). From non-adherence to adherence: can innovative solutions resolve a longstanding problem? </w:t>
      </w:r>
      <w:r w:rsidRPr="008F5B5A">
        <w:rPr>
          <w:rFonts w:eastAsia="Aptos"/>
          <w:i/>
          <w:iCs/>
        </w:rPr>
        <w:t>European Journal of Internal Medicine</w:t>
      </w:r>
      <w:r w:rsidRPr="008F5B5A">
        <w:rPr>
          <w:rFonts w:eastAsia="Aptos"/>
        </w:rPr>
        <w:t>, </w:t>
      </w:r>
      <w:r w:rsidRPr="008F5B5A">
        <w:rPr>
          <w:rFonts w:eastAsia="Aptos"/>
          <w:i/>
          <w:iCs/>
        </w:rPr>
        <w:t>119</w:t>
      </w:r>
      <w:r w:rsidRPr="008F5B5A">
        <w:rPr>
          <w:rFonts w:eastAsia="Aptos"/>
        </w:rPr>
        <w:t xml:space="preserve">, 6-12. </w:t>
      </w:r>
      <w:hyperlink r:id="rId48" w:history="1">
        <w:r w:rsidR="004A57F6" w:rsidRPr="00762559">
          <w:rPr>
            <w:rStyle w:val="Hyperlink"/>
            <w:rFonts w:eastAsia="Aptos"/>
          </w:rPr>
          <w:t>https://doi.org/10.1016/j.ejim.2023.10.012</w:t>
        </w:r>
      </w:hyperlink>
    </w:p>
    <w:p w14:paraId="0DD35556" w14:textId="77777777" w:rsidR="00A84F6B" w:rsidRDefault="00A84F6B" w:rsidP="00A84F6B">
      <w:pPr>
        <w:spacing w:line="480" w:lineRule="auto"/>
        <w:ind w:left="720" w:hanging="720"/>
        <w:contextualSpacing/>
        <w:rPr>
          <w:rFonts w:eastAsia="Aptos"/>
        </w:rPr>
      </w:pPr>
      <w:r w:rsidRPr="00142404">
        <w:rPr>
          <w:rFonts w:eastAsia="Aptos"/>
        </w:rPr>
        <w:t>Keehan, S. P., Madison, A. J., Poisal, J. A., Cuckler, G. A., Smith, S. D., Sisko, A. M., Fiore, J. A., &amp; Rennie, K. E. (2025). National Health Expenditure Projections, 2024-33: Despite Insurance Coverage Declines, Health To Grow As Share Of GDP. </w:t>
      </w:r>
      <w:r w:rsidRPr="00142404">
        <w:rPr>
          <w:rFonts w:eastAsia="Aptos"/>
          <w:i/>
          <w:iCs/>
        </w:rPr>
        <w:t>Health affairs (Project Hope)</w:t>
      </w:r>
      <w:r w:rsidRPr="00142404">
        <w:rPr>
          <w:rFonts w:eastAsia="Aptos"/>
        </w:rPr>
        <w:t>, </w:t>
      </w:r>
      <w:r w:rsidRPr="00142404">
        <w:rPr>
          <w:rFonts w:eastAsia="Aptos"/>
          <w:i/>
          <w:iCs/>
        </w:rPr>
        <w:t>44</w:t>
      </w:r>
      <w:r w:rsidRPr="00142404">
        <w:rPr>
          <w:rFonts w:eastAsia="Aptos"/>
        </w:rPr>
        <w:t xml:space="preserve">(7), 776–787. </w:t>
      </w:r>
      <w:hyperlink r:id="rId49" w:history="1">
        <w:r w:rsidRPr="00762559">
          <w:rPr>
            <w:rStyle w:val="Hyperlink"/>
            <w:rFonts w:eastAsia="Aptos"/>
          </w:rPr>
          <w:t>https://doi.org/10.1377/hlthaff.2025.00545</w:t>
        </w:r>
      </w:hyperlink>
    </w:p>
    <w:p w14:paraId="72412485" w14:textId="6C274096" w:rsidR="00CF2D19" w:rsidRDefault="00CF2D19" w:rsidP="00CF2D19">
      <w:pPr>
        <w:spacing w:line="480" w:lineRule="auto"/>
        <w:ind w:left="720" w:hanging="720"/>
        <w:contextualSpacing/>
        <w:rPr>
          <w:rFonts w:eastAsia="Aptos"/>
        </w:rPr>
      </w:pPr>
      <w:bookmarkStart w:id="60" w:name="_Hlk192679197"/>
      <w:bookmarkStart w:id="61" w:name="_Hlk192523322"/>
      <w:bookmarkStart w:id="62" w:name="_Hlk192523171"/>
      <w:bookmarkEnd w:id="54"/>
      <w:bookmarkEnd w:id="59"/>
      <w:r w:rsidRPr="008F5B5A">
        <w:rPr>
          <w:rFonts w:eastAsia="Aptos"/>
        </w:rPr>
        <w:t>Kharmats, A. Y., Martinez, T. R., Belli, H., Zhao, Y., Mann, D. M., Schoenthaler, A. M., Voils, C. I., &amp; Blecker, S. (2023). Self-reported adherence and reasons for nonadherence among patients with a low proportion of days covered for antihypertension medications. </w:t>
      </w:r>
      <w:r w:rsidRPr="008F5B5A">
        <w:rPr>
          <w:rFonts w:eastAsia="Aptos"/>
          <w:i/>
          <w:iCs/>
        </w:rPr>
        <w:t>Journal of Managed Care &amp; Specialty Pharmacy</w:t>
      </w:r>
      <w:r w:rsidRPr="008F5B5A">
        <w:rPr>
          <w:rFonts w:eastAsia="Aptos"/>
        </w:rPr>
        <w:t>, </w:t>
      </w:r>
      <w:r w:rsidRPr="008F5B5A">
        <w:rPr>
          <w:rFonts w:eastAsia="Aptos"/>
          <w:i/>
          <w:iCs/>
        </w:rPr>
        <w:t>29</w:t>
      </w:r>
      <w:r w:rsidRPr="008F5B5A">
        <w:rPr>
          <w:rFonts w:eastAsia="Aptos"/>
        </w:rPr>
        <w:t xml:space="preserve">(5), 557–563. </w:t>
      </w:r>
      <w:hyperlink r:id="rId50" w:history="1">
        <w:r w:rsidR="00606B11" w:rsidRPr="00CF7158">
          <w:rPr>
            <w:rStyle w:val="Hyperlink"/>
            <w:rFonts w:eastAsia="Aptos"/>
          </w:rPr>
          <w:t>https://doi.org/10.18553/jmcp.2023.29.5.557</w:t>
        </w:r>
      </w:hyperlink>
    </w:p>
    <w:p w14:paraId="4822E9A4" w14:textId="18B5982C" w:rsidR="00CF2D19" w:rsidRDefault="00CF2D19" w:rsidP="00CF2D19">
      <w:pPr>
        <w:spacing w:line="480" w:lineRule="auto"/>
        <w:ind w:left="720" w:hanging="720"/>
        <w:contextualSpacing/>
        <w:rPr>
          <w:rFonts w:eastAsia="Aptos"/>
        </w:rPr>
      </w:pPr>
      <w:r w:rsidRPr="008F5B5A">
        <w:rPr>
          <w:rFonts w:eastAsia="Aptos"/>
        </w:rPr>
        <w:t>Kootstra, J., &amp; Kleinhout-Vliek, T. (2021). Implementing Pharmaceutical Track-and-Trace Systems: A Realist Review. </w:t>
      </w:r>
      <w:r w:rsidRPr="008F5B5A">
        <w:rPr>
          <w:rFonts w:eastAsia="Aptos"/>
          <w:i/>
          <w:iCs/>
        </w:rPr>
        <w:t>BMJ Global Health</w:t>
      </w:r>
      <w:r w:rsidRPr="008F5B5A">
        <w:rPr>
          <w:rFonts w:eastAsia="Aptos"/>
        </w:rPr>
        <w:t>, </w:t>
      </w:r>
      <w:r w:rsidRPr="008F5B5A">
        <w:rPr>
          <w:rFonts w:eastAsia="Aptos"/>
          <w:i/>
          <w:iCs/>
        </w:rPr>
        <w:t>6</w:t>
      </w:r>
      <w:r w:rsidRPr="008F5B5A">
        <w:rPr>
          <w:rFonts w:eastAsia="Aptos"/>
        </w:rPr>
        <w:t xml:space="preserve">(Suppl 3), e003755. </w:t>
      </w:r>
      <w:hyperlink r:id="rId51" w:history="1">
        <w:r w:rsidR="00606B11" w:rsidRPr="00CF7158">
          <w:rPr>
            <w:rStyle w:val="Hyperlink"/>
            <w:rFonts w:eastAsia="Aptos"/>
          </w:rPr>
          <w:t>https://gh.bmj.com/content/6/Suppl_3/e003755</w:t>
        </w:r>
      </w:hyperlink>
    </w:p>
    <w:p w14:paraId="7E6A24FF" w14:textId="646D1277" w:rsidR="00CF2D19" w:rsidRDefault="00CF2D19" w:rsidP="00CF2D19">
      <w:pPr>
        <w:spacing w:line="480" w:lineRule="auto"/>
        <w:ind w:left="720" w:hanging="720"/>
        <w:contextualSpacing/>
        <w:rPr>
          <w:rFonts w:eastAsia="Aptos"/>
        </w:rPr>
      </w:pPr>
      <w:bookmarkStart w:id="63" w:name="_Hlk193005482"/>
      <w:bookmarkEnd w:id="60"/>
      <w:r w:rsidRPr="008F5B5A">
        <w:rPr>
          <w:rFonts w:eastAsia="Aptos"/>
        </w:rPr>
        <w:t>Kulkov</w:t>
      </w:r>
      <w:bookmarkEnd w:id="63"/>
      <w:r w:rsidRPr="008F5B5A">
        <w:rPr>
          <w:rFonts w:eastAsia="Aptos"/>
        </w:rPr>
        <w:t>, I., Ivanova-Gongne, M., Bertello, A., Makkonen, H., Kulkova, J., Rohrbeck, R., &amp; Ferraris, A. (2023). Technology entrepreneurship in healthcare: Challenges and opportunities for value creation. </w:t>
      </w:r>
      <w:r w:rsidRPr="008F5B5A">
        <w:rPr>
          <w:rFonts w:eastAsia="Aptos"/>
          <w:i/>
          <w:iCs/>
        </w:rPr>
        <w:t>Journal of Innovation &amp; Knowledge</w:t>
      </w:r>
      <w:r w:rsidRPr="008F5B5A">
        <w:rPr>
          <w:rFonts w:eastAsia="Aptos"/>
        </w:rPr>
        <w:t>, </w:t>
      </w:r>
      <w:r w:rsidRPr="008F5B5A">
        <w:rPr>
          <w:rFonts w:eastAsia="Aptos"/>
          <w:i/>
          <w:iCs/>
        </w:rPr>
        <w:t>8</w:t>
      </w:r>
      <w:r w:rsidRPr="008F5B5A">
        <w:rPr>
          <w:rFonts w:eastAsia="Aptos"/>
        </w:rPr>
        <w:t xml:space="preserve">(2), 100365. </w:t>
      </w:r>
      <w:hyperlink r:id="rId52" w:history="1">
        <w:r w:rsidR="00606B11" w:rsidRPr="00CF7158">
          <w:rPr>
            <w:rStyle w:val="Hyperlink"/>
            <w:rFonts w:eastAsia="Aptos"/>
          </w:rPr>
          <w:t>https://doi.org/10.1016/j.jik.2023.100365</w:t>
        </w:r>
      </w:hyperlink>
    </w:p>
    <w:p w14:paraId="491A4478" w14:textId="38F67F1D" w:rsidR="00CF2D19" w:rsidRPr="00B271FF" w:rsidRDefault="00CF2D19" w:rsidP="00CF2D19">
      <w:pPr>
        <w:spacing w:line="480" w:lineRule="auto"/>
        <w:ind w:left="720" w:hanging="720"/>
        <w:contextualSpacing/>
        <w:rPr>
          <w:rFonts w:eastAsia="Aptos"/>
          <w:lang w:val="es-ES"/>
        </w:rPr>
      </w:pPr>
      <w:r w:rsidRPr="008F5B5A">
        <w:rPr>
          <w:rFonts w:eastAsia="Aptos"/>
        </w:rPr>
        <w:t xml:space="preserve">Larsen, R. E., Karimi, A., Krogstad, T., Landmark, C. J., &amp; Holm, L. B. (2025). High </w:t>
      </w:r>
      <w:r w:rsidR="00B457DE">
        <w:rPr>
          <w:rFonts w:eastAsia="Aptos"/>
        </w:rPr>
        <w:t>m</w:t>
      </w:r>
      <w:r w:rsidRPr="008F5B5A">
        <w:rPr>
          <w:rFonts w:eastAsia="Aptos"/>
        </w:rPr>
        <w:t xml:space="preserve">edication </w:t>
      </w:r>
      <w:r w:rsidR="00B457DE">
        <w:rPr>
          <w:rFonts w:eastAsia="Aptos"/>
        </w:rPr>
        <w:t>n</w:t>
      </w:r>
      <w:r w:rsidRPr="008F5B5A">
        <w:rPr>
          <w:rFonts w:eastAsia="Aptos"/>
        </w:rPr>
        <w:t>on-</w:t>
      </w:r>
      <w:r w:rsidR="00B457DE">
        <w:rPr>
          <w:rFonts w:eastAsia="Aptos"/>
        </w:rPr>
        <w:t>a</w:t>
      </w:r>
      <w:r w:rsidRPr="008F5B5A">
        <w:rPr>
          <w:rFonts w:eastAsia="Aptos"/>
        </w:rPr>
        <w:t xml:space="preserve">dherence Rates and </w:t>
      </w:r>
      <w:r w:rsidR="0046706B">
        <w:rPr>
          <w:rFonts w:eastAsia="Aptos"/>
        </w:rPr>
        <w:t>their</w:t>
      </w:r>
      <w:r w:rsidRPr="008F5B5A">
        <w:rPr>
          <w:rFonts w:eastAsia="Aptos"/>
        </w:rPr>
        <w:t xml:space="preserve"> </w:t>
      </w:r>
      <w:r w:rsidR="00B457DE">
        <w:rPr>
          <w:rFonts w:eastAsia="Aptos"/>
        </w:rPr>
        <w:t>d</w:t>
      </w:r>
      <w:r w:rsidRPr="008F5B5A">
        <w:rPr>
          <w:rFonts w:eastAsia="Aptos"/>
        </w:rPr>
        <w:t xml:space="preserve">rivers in the </w:t>
      </w:r>
      <w:r w:rsidR="00B457DE">
        <w:rPr>
          <w:rFonts w:eastAsia="Aptos"/>
        </w:rPr>
        <w:t>g</w:t>
      </w:r>
      <w:r w:rsidRPr="008F5B5A">
        <w:rPr>
          <w:rFonts w:eastAsia="Aptos"/>
        </w:rPr>
        <w:t xml:space="preserve">eneral </w:t>
      </w:r>
      <w:r w:rsidR="00B457DE">
        <w:rPr>
          <w:rFonts w:eastAsia="Aptos"/>
        </w:rPr>
        <w:t>p</w:t>
      </w:r>
      <w:r w:rsidRPr="008F5B5A">
        <w:rPr>
          <w:rFonts w:eastAsia="Aptos"/>
        </w:rPr>
        <w:t xml:space="preserve">opulation: A </w:t>
      </w:r>
      <w:r w:rsidR="00B457DE">
        <w:rPr>
          <w:rFonts w:eastAsia="Aptos"/>
        </w:rPr>
        <w:t>c</w:t>
      </w:r>
      <w:r w:rsidRPr="008F5B5A">
        <w:rPr>
          <w:rFonts w:eastAsia="Aptos"/>
        </w:rPr>
        <w:t xml:space="preserve">ross-sectional </w:t>
      </w:r>
      <w:r w:rsidR="00B457DE">
        <w:rPr>
          <w:rFonts w:eastAsia="Aptos"/>
        </w:rPr>
        <w:t>s</w:t>
      </w:r>
      <w:r w:rsidRPr="008F5B5A">
        <w:rPr>
          <w:rFonts w:eastAsia="Aptos"/>
        </w:rPr>
        <w:t xml:space="preserve">tudy </w:t>
      </w:r>
      <w:r w:rsidR="00B457DE">
        <w:rPr>
          <w:rFonts w:eastAsia="Aptos"/>
        </w:rPr>
        <w:t>u</w:t>
      </w:r>
      <w:r w:rsidRPr="008F5B5A">
        <w:rPr>
          <w:rFonts w:eastAsia="Aptos"/>
        </w:rPr>
        <w:t xml:space="preserve">sing the OMAS-37 Adherence </w:t>
      </w:r>
      <w:r w:rsidR="00B457DE">
        <w:rPr>
          <w:rFonts w:eastAsia="Aptos"/>
        </w:rPr>
        <w:t>s</w:t>
      </w:r>
      <w:r w:rsidRPr="008F5B5A">
        <w:rPr>
          <w:rFonts w:eastAsia="Aptos"/>
        </w:rPr>
        <w:t xml:space="preserve">urvey </w:t>
      </w:r>
      <w:r w:rsidR="00B457DE">
        <w:rPr>
          <w:rFonts w:eastAsia="Aptos"/>
        </w:rPr>
        <w:t>t</w:t>
      </w:r>
      <w:r w:rsidRPr="008F5B5A">
        <w:rPr>
          <w:rFonts w:eastAsia="Aptos"/>
        </w:rPr>
        <w:t>ool. </w:t>
      </w:r>
      <w:r w:rsidRPr="008F5B5A">
        <w:rPr>
          <w:rFonts w:eastAsia="Aptos"/>
          <w:i/>
          <w:iCs/>
        </w:rPr>
        <w:t xml:space="preserve">INQUIRY: The </w:t>
      </w:r>
      <w:r w:rsidRPr="008F5B5A">
        <w:rPr>
          <w:rFonts w:eastAsia="Aptos"/>
          <w:i/>
          <w:iCs/>
        </w:rPr>
        <w:lastRenderedPageBreak/>
        <w:t>Journal of Health Care Organization, Provision, and Financing</w:t>
      </w:r>
      <w:r w:rsidRPr="008F5B5A">
        <w:rPr>
          <w:rFonts w:eastAsia="Aptos"/>
        </w:rPr>
        <w:t>, </w:t>
      </w:r>
      <w:r w:rsidRPr="008F5B5A">
        <w:rPr>
          <w:rFonts w:eastAsia="Aptos"/>
          <w:i/>
          <w:iCs/>
        </w:rPr>
        <w:t>62</w:t>
      </w:r>
      <w:r w:rsidRPr="008F5B5A">
        <w:rPr>
          <w:rFonts w:eastAsia="Aptos"/>
        </w:rPr>
        <w:t xml:space="preserve">, 00469580251321596. </w:t>
      </w:r>
      <w:hyperlink r:id="rId53" w:history="1">
        <w:r w:rsidR="00606B11" w:rsidRPr="00B271FF">
          <w:rPr>
            <w:rStyle w:val="Hyperlink"/>
            <w:rFonts w:eastAsia="Aptos"/>
            <w:lang w:val="es-ES"/>
          </w:rPr>
          <w:t>https://doi.org/10.1177/00469580251321596</w:t>
        </w:r>
      </w:hyperlink>
    </w:p>
    <w:p w14:paraId="0FC196EC" w14:textId="1A3B3150" w:rsidR="00CF2D19" w:rsidRDefault="00CF2D19" w:rsidP="00CF2D19">
      <w:pPr>
        <w:spacing w:line="480" w:lineRule="auto"/>
        <w:ind w:left="720" w:hanging="720"/>
        <w:contextualSpacing/>
        <w:rPr>
          <w:rFonts w:eastAsia="Aptos"/>
        </w:rPr>
      </w:pPr>
      <w:bookmarkStart w:id="64" w:name="_Hlk192676348"/>
      <w:bookmarkStart w:id="65" w:name="_Hlk192525105"/>
      <w:bookmarkEnd w:id="61"/>
      <w:r w:rsidRPr="00B271FF">
        <w:rPr>
          <w:rFonts w:eastAsia="Aptos"/>
          <w:lang w:val="es-ES"/>
        </w:rPr>
        <w:t xml:space="preserve">Loots, E., Goossens, E., Vanwesemael, T., Morrens, M., Van Rompaey, B., &amp; Dilles, T. (2021). </w:t>
      </w:r>
      <w:r w:rsidRPr="008F5B5A">
        <w:rPr>
          <w:rFonts w:eastAsia="Aptos"/>
        </w:rPr>
        <w:t>Interventions to improve medication adherence in patients with schizophrenia or bipolar disorders: a systematic review and meta-analysis. </w:t>
      </w:r>
      <w:r w:rsidRPr="008F5B5A">
        <w:rPr>
          <w:rFonts w:eastAsia="Aptos"/>
          <w:i/>
          <w:iCs/>
        </w:rPr>
        <w:t>International Journal of Environmental Research and Public Health</w:t>
      </w:r>
      <w:r w:rsidRPr="008F5B5A">
        <w:rPr>
          <w:rFonts w:eastAsia="Aptos"/>
        </w:rPr>
        <w:t>, </w:t>
      </w:r>
      <w:r w:rsidRPr="008F5B5A">
        <w:rPr>
          <w:rFonts w:eastAsia="Aptos"/>
          <w:i/>
          <w:iCs/>
        </w:rPr>
        <w:t>18</w:t>
      </w:r>
      <w:r w:rsidRPr="008F5B5A">
        <w:rPr>
          <w:rFonts w:eastAsia="Aptos"/>
        </w:rPr>
        <w:t xml:space="preserve">(19), 10213. </w:t>
      </w:r>
      <w:hyperlink r:id="rId54" w:history="1">
        <w:r w:rsidR="00606B11" w:rsidRPr="00CF7158">
          <w:rPr>
            <w:rStyle w:val="Hyperlink"/>
            <w:rFonts w:eastAsia="Aptos"/>
          </w:rPr>
          <w:t>https://doi.org/10.3390/ijerph181910213</w:t>
        </w:r>
      </w:hyperlink>
    </w:p>
    <w:p w14:paraId="10C7A1B8" w14:textId="77777777" w:rsidR="00CF2D19" w:rsidRPr="008F5B5A" w:rsidRDefault="00CF2D19" w:rsidP="00CF2D19">
      <w:pPr>
        <w:spacing w:line="480" w:lineRule="auto"/>
        <w:ind w:left="720" w:hanging="720"/>
        <w:contextualSpacing/>
        <w:rPr>
          <w:rFonts w:eastAsia="Aptos"/>
        </w:rPr>
      </w:pPr>
      <w:bookmarkStart w:id="66" w:name="_Hlk192680936"/>
      <w:bookmarkEnd w:id="64"/>
      <w:r w:rsidRPr="008F5B5A">
        <w:rPr>
          <w:rFonts w:eastAsia="Aptos"/>
        </w:rPr>
        <w:t xml:space="preserve">Li, J., &amp; Wang, H. (2021). The effect of health information technology on US administrative costs savings and clinical performance: A systematic review. </w:t>
      </w:r>
      <w:r w:rsidRPr="008F5B5A">
        <w:rPr>
          <w:rFonts w:eastAsia="Aptos"/>
          <w:i/>
          <w:iCs/>
        </w:rPr>
        <w:t xml:space="preserve">Proceedings of the 2021 12th International Conference on E-business, Management and Economics, </w:t>
      </w:r>
      <w:r w:rsidRPr="008F5B5A">
        <w:rPr>
          <w:rFonts w:eastAsia="Aptos"/>
        </w:rPr>
        <w:t>12, 415-422.</w:t>
      </w:r>
    </w:p>
    <w:bookmarkEnd w:id="66"/>
    <w:p w14:paraId="5593DC58" w14:textId="3B36012A" w:rsidR="00CF2D19" w:rsidRDefault="00CF2D19" w:rsidP="00CF2D19">
      <w:pPr>
        <w:spacing w:line="480" w:lineRule="auto"/>
        <w:ind w:left="720" w:hanging="720"/>
        <w:contextualSpacing/>
        <w:rPr>
          <w:rFonts w:eastAsia="Aptos"/>
        </w:rPr>
      </w:pPr>
      <w:r w:rsidRPr="008F5B5A">
        <w:rPr>
          <w:rFonts w:eastAsia="Aptos"/>
        </w:rPr>
        <w:t>Lu, Z. K., Xiong, X., Brown, J., Horras, A., Yuan, J., &amp; Li, M. (2021). Impact of cost-related medication nonadherence on economic burdens, productivity loss, and functional abilities: management of cancer survivors in Medicare. </w:t>
      </w:r>
      <w:r w:rsidRPr="008F5B5A">
        <w:rPr>
          <w:rFonts w:eastAsia="Aptos"/>
          <w:i/>
          <w:iCs/>
        </w:rPr>
        <w:t>Frontiers in Pharmacology</w:t>
      </w:r>
      <w:r w:rsidRPr="008F5B5A">
        <w:rPr>
          <w:rFonts w:eastAsia="Aptos"/>
        </w:rPr>
        <w:t>, </w:t>
      </w:r>
      <w:r w:rsidRPr="008F5B5A">
        <w:rPr>
          <w:rFonts w:eastAsia="Aptos"/>
          <w:i/>
          <w:iCs/>
        </w:rPr>
        <w:t>12</w:t>
      </w:r>
      <w:r w:rsidRPr="008F5B5A">
        <w:rPr>
          <w:rFonts w:eastAsia="Aptos"/>
        </w:rPr>
        <w:t xml:space="preserve">, 706289. </w:t>
      </w:r>
      <w:hyperlink r:id="rId55" w:history="1">
        <w:r w:rsidR="00606B11" w:rsidRPr="00CF7158">
          <w:rPr>
            <w:rStyle w:val="Hyperlink"/>
            <w:rFonts w:eastAsia="Aptos"/>
          </w:rPr>
          <w:t>https://doi.org/10.3389/fphar.2021.706289</w:t>
        </w:r>
      </w:hyperlink>
    </w:p>
    <w:p w14:paraId="24790745" w14:textId="77777777" w:rsidR="00CF2D19" w:rsidRDefault="00CF2D19" w:rsidP="00CF2D19">
      <w:pPr>
        <w:spacing w:line="480" w:lineRule="auto"/>
        <w:ind w:left="720" w:hanging="720"/>
        <w:contextualSpacing/>
        <w:rPr>
          <w:rFonts w:eastAsia="Aptos"/>
        </w:rPr>
      </w:pPr>
      <w:bookmarkStart w:id="67" w:name="_Hlk192677297"/>
      <w:bookmarkEnd w:id="65"/>
      <w:r w:rsidRPr="008F5B5A">
        <w:rPr>
          <w:rFonts w:eastAsia="Aptos"/>
        </w:rPr>
        <w:t>Maddison, R., Jiang, Y., Stewart, R., Scott, T., Kerr, A., Whittaker, R., ... &amp; Dale, L. (2021). An intervention to improve medication adherence in people with heart disease (Text4HeartII): randomized controlled trial. </w:t>
      </w:r>
      <w:r w:rsidRPr="008F5B5A">
        <w:rPr>
          <w:rFonts w:eastAsia="Aptos"/>
          <w:i/>
          <w:iCs/>
        </w:rPr>
        <w:t>JMIR mHealth and uHealth</w:t>
      </w:r>
      <w:r w:rsidRPr="008F5B5A">
        <w:rPr>
          <w:rFonts w:eastAsia="Aptos"/>
        </w:rPr>
        <w:t>, </w:t>
      </w:r>
      <w:r w:rsidRPr="008F5B5A">
        <w:rPr>
          <w:rFonts w:eastAsia="Aptos"/>
          <w:i/>
          <w:iCs/>
        </w:rPr>
        <w:t>9</w:t>
      </w:r>
      <w:r w:rsidRPr="008F5B5A">
        <w:rPr>
          <w:rFonts w:eastAsia="Aptos"/>
        </w:rPr>
        <w:t>(6), e24952. 10.2196/24952</w:t>
      </w:r>
    </w:p>
    <w:p w14:paraId="4EE9B1AF" w14:textId="41EC0265" w:rsidR="00AB5F2F" w:rsidRDefault="00AB5F2F" w:rsidP="00CF2D19">
      <w:pPr>
        <w:spacing w:line="480" w:lineRule="auto"/>
        <w:ind w:left="720" w:hanging="720"/>
        <w:contextualSpacing/>
        <w:rPr>
          <w:rFonts w:eastAsia="Aptos"/>
        </w:rPr>
      </w:pPr>
      <w:r>
        <w:rPr>
          <w:rFonts w:eastAsia="Aptos"/>
        </w:rPr>
        <w:t xml:space="preserve">Magellan Health Insights. (2026). </w:t>
      </w:r>
      <w:r w:rsidR="0044452C">
        <w:rPr>
          <w:rFonts w:eastAsia="Aptos"/>
        </w:rPr>
        <w:t xml:space="preserve">Prescription </w:t>
      </w:r>
      <w:r w:rsidR="00267E1E">
        <w:rPr>
          <w:rFonts w:eastAsia="Aptos"/>
        </w:rPr>
        <w:t>p</w:t>
      </w:r>
      <w:r w:rsidR="0044452C">
        <w:rPr>
          <w:rFonts w:eastAsia="Aptos"/>
        </w:rPr>
        <w:t xml:space="preserve">redicament: The </w:t>
      </w:r>
      <w:r w:rsidR="00267E1E">
        <w:rPr>
          <w:rFonts w:eastAsia="Aptos"/>
        </w:rPr>
        <w:t>i</w:t>
      </w:r>
      <w:r w:rsidR="0044452C">
        <w:rPr>
          <w:rFonts w:eastAsia="Aptos"/>
        </w:rPr>
        <w:t xml:space="preserve">mpact of </w:t>
      </w:r>
      <w:r w:rsidR="00267E1E">
        <w:rPr>
          <w:rFonts w:eastAsia="Aptos"/>
        </w:rPr>
        <w:t>r</w:t>
      </w:r>
      <w:r w:rsidR="0044452C">
        <w:rPr>
          <w:rFonts w:eastAsia="Aptos"/>
        </w:rPr>
        <w:t xml:space="preserve">ising </w:t>
      </w:r>
      <w:r w:rsidR="00267E1E">
        <w:rPr>
          <w:rFonts w:eastAsia="Aptos"/>
        </w:rPr>
        <w:t>d</w:t>
      </w:r>
      <w:r w:rsidR="0044452C">
        <w:rPr>
          <w:rFonts w:eastAsia="Aptos"/>
        </w:rPr>
        <w:t xml:space="preserve">rug </w:t>
      </w:r>
      <w:r w:rsidR="00267E1E">
        <w:rPr>
          <w:rFonts w:eastAsia="Aptos"/>
        </w:rPr>
        <w:t>c</w:t>
      </w:r>
      <w:r w:rsidR="0044452C">
        <w:rPr>
          <w:rFonts w:eastAsia="Aptos"/>
        </w:rPr>
        <w:t xml:space="preserve">osts on </w:t>
      </w:r>
      <w:r w:rsidR="00267E1E">
        <w:rPr>
          <w:rFonts w:eastAsia="Aptos"/>
        </w:rPr>
        <w:t>m</w:t>
      </w:r>
      <w:r w:rsidR="0044452C">
        <w:rPr>
          <w:rFonts w:eastAsia="Aptos"/>
        </w:rPr>
        <w:t xml:space="preserve">edication </w:t>
      </w:r>
      <w:r w:rsidR="00267E1E">
        <w:rPr>
          <w:rFonts w:eastAsia="Aptos"/>
        </w:rPr>
        <w:t>a</w:t>
      </w:r>
      <w:r w:rsidR="0044452C">
        <w:rPr>
          <w:rFonts w:eastAsia="Aptos"/>
        </w:rPr>
        <w:t xml:space="preserve">dherence. Retrieved from: </w:t>
      </w:r>
      <w:hyperlink r:id="rId56" w:anchor=":~:text=Decreased%20quality%20of%20life%E2%80%94Non,do%20no%20take%20their%20medication" w:history="1">
        <w:r w:rsidR="008F680C" w:rsidRPr="00D36E32">
          <w:rPr>
            <w:rStyle w:val="Hyperlink"/>
            <w:rFonts w:eastAsia="Aptos"/>
          </w:rPr>
          <w:t>https://www.magellanhealthinsights.com/2024/02/19/prescription-predicament-the-impact-of-rising-drug-costs-on-medication-</w:t>
        </w:r>
        <w:r w:rsidR="008F680C" w:rsidRPr="00D36E32">
          <w:rPr>
            <w:rStyle w:val="Hyperlink"/>
            <w:rFonts w:eastAsia="Aptos"/>
          </w:rPr>
          <w:lastRenderedPageBreak/>
          <w:t>adherence/#:~:text=Decreased%20quality%20of%20life%E2%80%94Non,do%20no%20take%20their%20medication</w:t>
        </w:r>
      </w:hyperlink>
      <w:r w:rsidR="00D61F3A" w:rsidRPr="00D61F3A">
        <w:rPr>
          <w:rFonts w:eastAsia="Aptos"/>
        </w:rPr>
        <w:t>.</w:t>
      </w:r>
    </w:p>
    <w:bookmarkEnd w:id="67"/>
    <w:p w14:paraId="521899BD" w14:textId="5A555B12" w:rsidR="00CF2D19" w:rsidRDefault="00CF2D19" w:rsidP="00CF2D19">
      <w:pPr>
        <w:spacing w:line="480" w:lineRule="auto"/>
        <w:ind w:left="720" w:hanging="720"/>
        <w:contextualSpacing/>
        <w:rPr>
          <w:rFonts w:eastAsia="Aptos"/>
        </w:rPr>
      </w:pPr>
      <w:r w:rsidRPr="008F02C4">
        <w:rPr>
          <w:rFonts w:eastAsia="Aptos"/>
          <w:lang w:val="fr-FR"/>
        </w:rPr>
        <w:t xml:space="preserve">Marasine, N. R., &amp; Sankhi, S. (2021). </w:t>
      </w:r>
      <w:r w:rsidRPr="008F5B5A">
        <w:rPr>
          <w:rFonts w:eastAsia="Aptos"/>
        </w:rPr>
        <w:t>Factors associated with antidepressant medication non-adherence. </w:t>
      </w:r>
      <w:r w:rsidRPr="008F5B5A">
        <w:rPr>
          <w:rFonts w:eastAsia="Aptos"/>
          <w:i/>
          <w:iCs/>
        </w:rPr>
        <w:t>Turkish Journal of Pharmaceutical Sciences</w:t>
      </w:r>
      <w:r w:rsidRPr="008F5B5A">
        <w:rPr>
          <w:rFonts w:eastAsia="Aptos"/>
        </w:rPr>
        <w:t>, </w:t>
      </w:r>
      <w:r w:rsidRPr="008F5B5A">
        <w:rPr>
          <w:rFonts w:eastAsia="Aptos"/>
          <w:i/>
          <w:iCs/>
        </w:rPr>
        <w:t>18</w:t>
      </w:r>
      <w:r w:rsidRPr="008F5B5A">
        <w:rPr>
          <w:rFonts w:eastAsia="Aptos"/>
        </w:rPr>
        <w:t xml:space="preserve">(2), 242. </w:t>
      </w:r>
      <w:hyperlink r:id="rId57" w:history="1">
        <w:r w:rsidR="00D037C7" w:rsidRPr="00CF7158">
          <w:rPr>
            <w:rStyle w:val="Hyperlink"/>
            <w:rFonts w:eastAsia="Aptos"/>
          </w:rPr>
          <w:t>https://doi.org/10.4274/tjps.galenos.2020.49799</w:t>
        </w:r>
      </w:hyperlink>
    </w:p>
    <w:p w14:paraId="14CEBFEE" w14:textId="21FFD05E" w:rsidR="00CF2D19" w:rsidRDefault="00CF2D19" w:rsidP="00CF2D19">
      <w:pPr>
        <w:spacing w:line="480" w:lineRule="auto"/>
        <w:ind w:left="720" w:hanging="720"/>
        <w:contextualSpacing/>
        <w:rPr>
          <w:rFonts w:eastAsia="Aptos"/>
        </w:rPr>
      </w:pPr>
      <w:bookmarkStart w:id="68" w:name="_Hlk192676771"/>
      <w:bookmarkStart w:id="69" w:name="_Hlk192673712"/>
      <w:bookmarkStart w:id="70" w:name="_Hlk192523566"/>
      <w:bookmarkEnd w:id="62"/>
      <w:r w:rsidRPr="008F5B5A">
        <w:rPr>
          <w:rFonts w:eastAsia="Aptos"/>
        </w:rPr>
        <w:t>Marcum, Z. A., Jiang, S., Bacci, J. L., &amp; Ruppar, T. M. (2021). Pharmacist‐led interventions to improve medication adherence in older adults: A meta‐analysis. </w:t>
      </w:r>
      <w:r w:rsidRPr="008F5B5A">
        <w:rPr>
          <w:rFonts w:eastAsia="Aptos"/>
          <w:i/>
          <w:iCs/>
        </w:rPr>
        <w:t>Journal of the American Geriatrics Society</w:t>
      </w:r>
      <w:r w:rsidRPr="008F5B5A">
        <w:rPr>
          <w:rFonts w:eastAsia="Aptos"/>
        </w:rPr>
        <w:t>, </w:t>
      </w:r>
      <w:r w:rsidRPr="008F5B5A">
        <w:rPr>
          <w:rFonts w:eastAsia="Aptos"/>
          <w:i/>
          <w:iCs/>
        </w:rPr>
        <w:t>69</w:t>
      </w:r>
      <w:r w:rsidRPr="008F5B5A">
        <w:rPr>
          <w:rFonts w:eastAsia="Aptos"/>
        </w:rPr>
        <w:t>(11), 3301</w:t>
      </w:r>
      <w:r w:rsidR="00D037C7">
        <w:rPr>
          <w:rFonts w:eastAsia="Aptos"/>
        </w:rPr>
        <w:t>–</w:t>
      </w:r>
      <w:r w:rsidRPr="008F5B5A">
        <w:rPr>
          <w:rFonts w:eastAsia="Aptos"/>
        </w:rPr>
        <w:t xml:space="preserve">3311. </w:t>
      </w:r>
      <w:hyperlink r:id="rId58" w:history="1">
        <w:r w:rsidR="00D037C7" w:rsidRPr="00CF7158">
          <w:rPr>
            <w:rStyle w:val="Hyperlink"/>
            <w:rFonts w:eastAsia="Aptos"/>
          </w:rPr>
          <w:t>https://doi.org/10.1111/jgs.17373</w:t>
        </w:r>
      </w:hyperlink>
    </w:p>
    <w:bookmarkEnd w:id="68"/>
    <w:p w14:paraId="5AA5BFE3" w14:textId="77777777" w:rsidR="00CF2D19" w:rsidRPr="008F5B5A" w:rsidRDefault="00CF2D19" w:rsidP="00CF2D19">
      <w:pPr>
        <w:spacing w:line="480" w:lineRule="auto"/>
        <w:ind w:left="720" w:hanging="720"/>
        <w:contextualSpacing/>
        <w:rPr>
          <w:rFonts w:eastAsia="Aptos"/>
        </w:rPr>
      </w:pPr>
      <w:r w:rsidRPr="008F5B5A">
        <w:rPr>
          <w:rFonts w:eastAsia="Aptos"/>
        </w:rPr>
        <w:t>Mason, M., Cho, Y., Rayo, J., Gong, Y., Harris, M., &amp; Jiang, Y. (2022). Technologies for medication adherence monitoring and technology assessment criteria: narrative review. </w:t>
      </w:r>
      <w:r w:rsidRPr="008F5B5A">
        <w:rPr>
          <w:rFonts w:eastAsia="Aptos"/>
          <w:i/>
          <w:iCs/>
        </w:rPr>
        <w:t>JMIR mHealth and uHealth</w:t>
      </w:r>
      <w:r w:rsidRPr="008F5B5A">
        <w:rPr>
          <w:rFonts w:eastAsia="Aptos"/>
        </w:rPr>
        <w:t>, </w:t>
      </w:r>
      <w:r w:rsidRPr="008F5B5A">
        <w:rPr>
          <w:rFonts w:eastAsia="Aptos"/>
          <w:i/>
          <w:iCs/>
        </w:rPr>
        <w:t>10</w:t>
      </w:r>
      <w:r w:rsidRPr="008F5B5A">
        <w:rPr>
          <w:rFonts w:eastAsia="Aptos"/>
        </w:rPr>
        <w:t>(3), e35157. https://doi.org/10.2196/35157</w:t>
      </w:r>
    </w:p>
    <w:p w14:paraId="23BF4AAC" w14:textId="69CC186A" w:rsidR="00CF2D19" w:rsidRDefault="00CF2D19" w:rsidP="00CF2D19">
      <w:pPr>
        <w:spacing w:line="480" w:lineRule="auto"/>
        <w:ind w:left="720" w:hanging="720"/>
        <w:contextualSpacing/>
        <w:rPr>
          <w:rFonts w:eastAsia="Aptos"/>
        </w:rPr>
      </w:pPr>
      <w:bookmarkStart w:id="71" w:name="_Hlk193015594"/>
      <w:bookmarkStart w:id="72" w:name="_Hlk192680166"/>
      <w:bookmarkEnd w:id="69"/>
      <w:r w:rsidRPr="008F5B5A">
        <w:rPr>
          <w:rFonts w:eastAsia="Aptos"/>
        </w:rPr>
        <w:t>McGraw, D., &amp; Mandl</w:t>
      </w:r>
      <w:bookmarkEnd w:id="71"/>
      <w:r w:rsidRPr="008F5B5A">
        <w:rPr>
          <w:rFonts w:eastAsia="Aptos"/>
        </w:rPr>
        <w:t>, K. D. (2021). Privacy protections to encourage use of health-relevant digital data in a learning health system. </w:t>
      </w:r>
      <w:r w:rsidRPr="008F5B5A">
        <w:rPr>
          <w:rFonts w:eastAsia="Aptos"/>
          <w:i/>
          <w:iCs/>
        </w:rPr>
        <w:t>NPJ Digital Medicine</w:t>
      </w:r>
      <w:r w:rsidRPr="008F5B5A">
        <w:rPr>
          <w:rFonts w:eastAsia="Aptos"/>
        </w:rPr>
        <w:t>, </w:t>
      </w:r>
      <w:r w:rsidRPr="008F5B5A">
        <w:rPr>
          <w:rFonts w:eastAsia="Aptos"/>
          <w:i/>
          <w:iCs/>
        </w:rPr>
        <w:t>4</w:t>
      </w:r>
      <w:r w:rsidRPr="008F5B5A">
        <w:rPr>
          <w:rFonts w:eastAsia="Aptos"/>
        </w:rPr>
        <w:t xml:space="preserve">(1), 2. </w:t>
      </w:r>
      <w:hyperlink r:id="rId59" w:history="1">
        <w:r w:rsidR="00D037C7" w:rsidRPr="00CF7158">
          <w:rPr>
            <w:rStyle w:val="Hyperlink"/>
            <w:rFonts w:eastAsia="Aptos"/>
          </w:rPr>
          <w:t>https://doi.org/10.1038/s41746-020-00362-8</w:t>
        </w:r>
      </w:hyperlink>
    </w:p>
    <w:p w14:paraId="7CA06ED7" w14:textId="7109C2FE" w:rsidR="00CF2D19" w:rsidRDefault="00CF2D19" w:rsidP="00CF2D19">
      <w:pPr>
        <w:spacing w:line="480" w:lineRule="auto"/>
        <w:ind w:left="720" w:hanging="720"/>
        <w:contextualSpacing/>
        <w:rPr>
          <w:rFonts w:eastAsia="Aptos"/>
        </w:rPr>
      </w:pPr>
      <w:bookmarkStart w:id="73" w:name="_Hlk192854222"/>
      <w:r w:rsidRPr="008F5B5A">
        <w:rPr>
          <w:rFonts w:eastAsia="Aptos"/>
        </w:rPr>
        <w:t>Mills, W. R., Howard, S., Pitzen, K., Smitherman, J., Cole, L., Wolfram, J., Deane, W., Sender, S., &amp; Poltavski, D. (2024). A novel home-based medication management program and its influence on hospitalization rates among home health care recipients. </w:t>
      </w:r>
      <w:r w:rsidRPr="008F5B5A">
        <w:rPr>
          <w:rFonts w:eastAsia="Aptos"/>
          <w:i/>
          <w:iCs/>
        </w:rPr>
        <w:t>Journal of the American Medical Directors Association</w:t>
      </w:r>
      <w:r w:rsidRPr="008F5B5A">
        <w:rPr>
          <w:rFonts w:eastAsia="Aptos"/>
        </w:rPr>
        <w:t>, </w:t>
      </w:r>
      <w:r w:rsidRPr="008F5B5A">
        <w:rPr>
          <w:rFonts w:eastAsia="Aptos"/>
          <w:i/>
          <w:iCs/>
        </w:rPr>
        <w:t>25</w:t>
      </w:r>
      <w:r w:rsidRPr="008F5B5A">
        <w:rPr>
          <w:rFonts w:eastAsia="Aptos"/>
        </w:rPr>
        <w:t xml:space="preserve">(1), 155–157.e1. </w:t>
      </w:r>
      <w:hyperlink r:id="rId60" w:history="1">
        <w:r w:rsidR="00D037C7" w:rsidRPr="00CF7158">
          <w:rPr>
            <w:rStyle w:val="Hyperlink"/>
            <w:rFonts w:eastAsia="Aptos"/>
          </w:rPr>
          <w:t>https://doi.org/10.1016/j.jamda.2023.10.0120</w:t>
        </w:r>
      </w:hyperlink>
    </w:p>
    <w:bookmarkEnd w:id="73"/>
    <w:p w14:paraId="4F74E3BA" w14:textId="11C7B465" w:rsidR="002B40E0" w:rsidRDefault="00AF7BFB" w:rsidP="00CF2D19">
      <w:pPr>
        <w:spacing w:line="480" w:lineRule="auto"/>
        <w:ind w:left="720" w:hanging="720"/>
        <w:contextualSpacing/>
        <w:rPr>
          <w:rFonts w:eastAsia="Aptos"/>
        </w:rPr>
      </w:pPr>
      <w:r w:rsidRPr="00AF7BFB">
        <w:rPr>
          <w:rFonts w:eastAsia="Aptos"/>
        </w:rPr>
        <w:t xml:space="preserve">Mittal, M., Yang, M., Shah, M., Gao, W., Carley, C., &amp; Sherman, B. W. (2021). Impact of Medication Adherence on Healthcare Resource Utilization, Work Loss, and Associated Costs in a Privately Insured Employed Population Treated With </w:t>
      </w:r>
      <w:r w:rsidRPr="00AF7BFB">
        <w:rPr>
          <w:rFonts w:eastAsia="Aptos"/>
        </w:rPr>
        <w:lastRenderedPageBreak/>
        <w:t>Adalimumab in the United States. </w:t>
      </w:r>
      <w:r w:rsidRPr="00AF7BFB">
        <w:rPr>
          <w:rFonts w:eastAsia="Aptos"/>
          <w:i/>
          <w:iCs/>
        </w:rPr>
        <w:t xml:space="preserve">Journal of </w:t>
      </w:r>
      <w:r>
        <w:rPr>
          <w:rFonts w:eastAsia="Aptos"/>
          <w:i/>
          <w:iCs/>
        </w:rPr>
        <w:t>Occupational and Environmental Medicine</w:t>
      </w:r>
      <w:r w:rsidRPr="00AF7BFB">
        <w:rPr>
          <w:rFonts w:eastAsia="Aptos"/>
        </w:rPr>
        <w:t>, </w:t>
      </w:r>
      <w:r w:rsidRPr="00AF7BFB">
        <w:rPr>
          <w:rFonts w:eastAsia="Aptos"/>
          <w:i/>
          <w:iCs/>
        </w:rPr>
        <w:t>63</w:t>
      </w:r>
      <w:r w:rsidRPr="00AF7BFB">
        <w:rPr>
          <w:rFonts w:eastAsia="Aptos"/>
        </w:rPr>
        <w:t>(10), e724–e731. https://doi.org/10.1097/JOM.0000000000002354</w:t>
      </w:r>
      <w:r w:rsidR="002B40E0">
        <w:rPr>
          <w:rFonts w:eastAsia="Aptos"/>
        </w:rPr>
        <w:t>NACHC. (2025). The Nation’s Biggest Healthcare Challenge.</w:t>
      </w:r>
      <w:r w:rsidR="00F005C7">
        <w:rPr>
          <w:rFonts w:eastAsia="Aptos"/>
        </w:rPr>
        <w:t xml:space="preserve"> Retrieved from: </w:t>
      </w:r>
      <w:hyperlink r:id="rId61" w:anchor=":~:text=1,hospital%20and%20emergency%20department%20visits" w:history="1">
        <w:r w:rsidR="00F005C7" w:rsidRPr="00C32E75">
          <w:rPr>
            <w:rStyle w:val="Hyperlink"/>
            <w:rFonts w:eastAsia="Aptos"/>
          </w:rPr>
          <w:t>https://www.nachc.org/the-nations-biggest-healthcare-challenge/#:~:text=1,hospital%20and%20emergency%20department%20visits</w:t>
        </w:r>
      </w:hyperlink>
      <w:r w:rsidR="00F005C7" w:rsidRPr="00F005C7">
        <w:rPr>
          <w:rFonts w:eastAsia="Aptos"/>
        </w:rPr>
        <w:t>.</w:t>
      </w:r>
    </w:p>
    <w:bookmarkEnd w:id="72"/>
    <w:p w14:paraId="0B7B9B9F" w14:textId="558D7069" w:rsidR="00CF2D19" w:rsidRDefault="00CF2D19" w:rsidP="00CF2D19">
      <w:pPr>
        <w:spacing w:line="480" w:lineRule="auto"/>
        <w:ind w:left="720" w:hanging="720"/>
        <w:contextualSpacing/>
        <w:rPr>
          <w:rFonts w:eastAsia="Aptos"/>
        </w:rPr>
      </w:pPr>
      <w:r w:rsidRPr="008F5B5A">
        <w:rPr>
          <w:rFonts w:eastAsia="Aptos"/>
        </w:rPr>
        <w:t>Nakajima, R., Watanabe, F., &amp; Kamei, M. (2021). Factors associated with medication non-adherence among patients with lifestyle-related non-communicable diseases. </w:t>
      </w:r>
      <w:r w:rsidRPr="008F5B5A">
        <w:rPr>
          <w:rFonts w:eastAsia="Aptos"/>
          <w:i/>
          <w:iCs/>
        </w:rPr>
        <w:t>Pharmacy</w:t>
      </w:r>
      <w:r w:rsidRPr="008F5B5A">
        <w:rPr>
          <w:rFonts w:eastAsia="Aptos"/>
        </w:rPr>
        <w:t>, </w:t>
      </w:r>
      <w:r w:rsidRPr="008F5B5A">
        <w:rPr>
          <w:rFonts w:eastAsia="Aptos"/>
          <w:i/>
          <w:iCs/>
        </w:rPr>
        <w:t>9</w:t>
      </w:r>
      <w:r w:rsidRPr="008F5B5A">
        <w:rPr>
          <w:rFonts w:eastAsia="Aptos"/>
        </w:rPr>
        <w:t xml:space="preserve">(2), 90. </w:t>
      </w:r>
      <w:hyperlink r:id="rId62" w:history="1">
        <w:r w:rsidR="00FD623B" w:rsidRPr="00CF7158">
          <w:rPr>
            <w:rStyle w:val="Hyperlink"/>
            <w:rFonts w:eastAsia="Aptos"/>
          </w:rPr>
          <w:t>https://doi.org/10.3390/pharmacy9020090</w:t>
        </w:r>
      </w:hyperlink>
    </w:p>
    <w:p w14:paraId="69786995" w14:textId="6F36812B" w:rsidR="00FD623B" w:rsidRDefault="00FD623B" w:rsidP="00CF2D19">
      <w:pPr>
        <w:spacing w:line="480" w:lineRule="auto"/>
        <w:ind w:left="720" w:hanging="720"/>
        <w:contextualSpacing/>
        <w:rPr>
          <w:rFonts w:eastAsia="Aptos"/>
        </w:rPr>
      </w:pPr>
      <w:r>
        <w:rPr>
          <w:rFonts w:eastAsia="Aptos"/>
        </w:rPr>
        <w:t>National Library of Medicine. (2022). What is Precision Medicine?</w:t>
      </w:r>
      <w:r w:rsidR="001565D6">
        <w:rPr>
          <w:rFonts w:eastAsia="Aptos"/>
        </w:rPr>
        <w:t xml:space="preserve"> Retrieved from: </w:t>
      </w:r>
      <w:hyperlink r:id="rId63" w:history="1">
        <w:r w:rsidR="001565D6" w:rsidRPr="00CF7158">
          <w:rPr>
            <w:rStyle w:val="Hyperlink"/>
            <w:rFonts w:eastAsia="Aptos"/>
          </w:rPr>
          <w:t>https://medlineplus.gov/genetics/understanding/precisionmedicine/definition/</w:t>
        </w:r>
      </w:hyperlink>
    </w:p>
    <w:p w14:paraId="200DEA3F" w14:textId="2CC9BFDB" w:rsidR="00CF2D19" w:rsidRDefault="00CF2D19" w:rsidP="00CF2D19">
      <w:pPr>
        <w:spacing w:line="480" w:lineRule="auto"/>
        <w:ind w:left="720" w:hanging="720"/>
        <w:contextualSpacing/>
        <w:rPr>
          <w:rFonts w:eastAsia="Aptos"/>
        </w:rPr>
      </w:pPr>
      <w:bookmarkStart w:id="74" w:name="_Hlk192856672"/>
      <w:bookmarkStart w:id="75" w:name="_Hlk192524013"/>
      <w:bookmarkEnd w:id="70"/>
      <w:r w:rsidRPr="008F5B5A">
        <w:rPr>
          <w:rFonts w:eastAsia="Aptos"/>
        </w:rPr>
        <w:t>Nekui</w:t>
      </w:r>
      <w:bookmarkEnd w:id="74"/>
      <w:r w:rsidRPr="008F5B5A">
        <w:rPr>
          <w:rFonts w:eastAsia="Aptos"/>
        </w:rPr>
        <w:t>, F., Galbraith, A. A., Briesacher, B. A., Zhang, F., Soumerai, S. B., Ross-Degnan, D., Gurwitz, J. H., &amp; Madden, J. M. (2021). Cost-related medication nonadherence and its risk factors among Medicare beneficiaries. </w:t>
      </w:r>
      <w:r w:rsidRPr="008F5B5A">
        <w:rPr>
          <w:rFonts w:eastAsia="Aptos"/>
          <w:i/>
          <w:iCs/>
        </w:rPr>
        <w:t>Medical care</w:t>
      </w:r>
      <w:r w:rsidRPr="008F5B5A">
        <w:rPr>
          <w:rFonts w:eastAsia="Aptos"/>
        </w:rPr>
        <w:t>, </w:t>
      </w:r>
      <w:r w:rsidRPr="008F5B5A">
        <w:rPr>
          <w:rFonts w:eastAsia="Aptos"/>
          <w:i/>
          <w:iCs/>
        </w:rPr>
        <w:t>59</w:t>
      </w:r>
      <w:r w:rsidRPr="008F5B5A">
        <w:rPr>
          <w:rFonts w:eastAsia="Aptos"/>
        </w:rPr>
        <w:t xml:space="preserve">(1), 13–21. </w:t>
      </w:r>
      <w:hyperlink r:id="rId64" w:history="1">
        <w:r w:rsidR="00AF7BFB" w:rsidRPr="00CF7158">
          <w:rPr>
            <w:rStyle w:val="Hyperlink"/>
            <w:rFonts w:eastAsia="Aptos"/>
          </w:rPr>
          <w:t>https://doi.org/10.1097/MLR.0000000000001458</w:t>
        </w:r>
      </w:hyperlink>
    </w:p>
    <w:p w14:paraId="50E0314D" w14:textId="3B625640" w:rsidR="00CF2D19" w:rsidRDefault="00CF2D19" w:rsidP="00CF2D19">
      <w:pPr>
        <w:spacing w:line="480" w:lineRule="auto"/>
        <w:ind w:left="720" w:hanging="720"/>
        <w:contextualSpacing/>
        <w:rPr>
          <w:rFonts w:eastAsia="Aptos"/>
        </w:rPr>
      </w:pPr>
      <w:r w:rsidRPr="008F5B5A">
        <w:rPr>
          <w:rFonts w:eastAsia="Aptos"/>
        </w:rPr>
        <w:t>Nelson, A. J., Pagidipati, N. J., &amp; Bosworth, H. B. (2024). Improving medication adherence in cardiovascular disease. </w:t>
      </w:r>
      <w:r w:rsidRPr="008F5B5A">
        <w:rPr>
          <w:rFonts w:eastAsia="Aptos"/>
          <w:i/>
          <w:iCs/>
        </w:rPr>
        <w:t>Nature Reviews Cardiology</w:t>
      </w:r>
      <w:r w:rsidRPr="008F5B5A">
        <w:rPr>
          <w:rFonts w:eastAsia="Aptos"/>
        </w:rPr>
        <w:t>, </w:t>
      </w:r>
      <w:r w:rsidRPr="008F5B5A">
        <w:rPr>
          <w:rFonts w:eastAsia="Aptos"/>
          <w:i/>
          <w:iCs/>
        </w:rPr>
        <w:t>21</w:t>
      </w:r>
      <w:r w:rsidRPr="008F5B5A">
        <w:rPr>
          <w:rFonts w:eastAsia="Aptos"/>
        </w:rPr>
        <w:t>(6), 417</w:t>
      </w:r>
      <w:r w:rsidR="00AF7BFB">
        <w:rPr>
          <w:rFonts w:eastAsia="Aptos"/>
        </w:rPr>
        <w:t>–</w:t>
      </w:r>
      <w:r w:rsidRPr="008F5B5A">
        <w:rPr>
          <w:rFonts w:eastAsia="Aptos"/>
        </w:rPr>
        <w:t xml:space="preserve">429. </w:t>
      </w:r>
      <w:hyperlink r:id="rId65" w:history="1">
        <w:r w:rsidR="00A97CD0" w:rsidRPr="00CF7158">
          <w:rPr>
            <w:rStyle w:val="Hyperlink"/>
            <w:rFonts w:eastAsia="Aptos"/>
          </w:rPr>
          <w:t>https://doi.org/10.1038/s41569-023-00972-1</w:t>
        </w:r>
      </w:hyperlink>
    </w:p>
    <w:p w14:paraId="43D03C93" w14:textId="605633F9" w:rsidR="00CF2D19" w:rsidRDefault="00CF2D19" w:rsidP="00CF2D19">
      <w:pPr>
        <w:spacing w:line="480" w:lineRule="auto"/>
        <w:ind w:left="720" w:hanging="720"/>
        <w:contextualSpacing/>
        <w:rPr>
          <w:rFonts w:eastAsia="Aptos"/>
        </w:rPr>
      </w:pPr>
      <w:bookmarkStart w:id="76" w:name="_Hlk192673828"/>
      <w:bookmarkStart w:id="77" w:name="_Hlk192525782"/>
      <w:bookmarkEnd w:id="75"/>
      <w:r w:rsidRPr="008F5B5A">
        <w:rPr>
          <w:rFonts w:eastAsia="Aptos"/>
        </w:rPr>
        <w:t>Pal, P., Sambhakar, S., Dave, V., Paliwal, S. K., Paliwal, S., Sharma, M., Kumar, A.</w:t>
      </w:r>
      <w:r w:rsidR="00AF7BFB">
        <w:rPr>
          <w:rFonts w:eastAsia="Aptos"/>
        </w:rPr>
        <w:t>,</w:t>
      </w:r>
      <w:r w:rsidRPr="008F5B5A">
        <w:rPr>
          <w:rFonts w:eastAsia="Aptos"/>
        </w:rPr>
        <w:t xml:space="preserve"> &amp; Dhama, N. (2021). A review on emerging smart technological innovations in healthcare sector for increasing patient's medication adherence. </w:t>
      </w:r>
      <w:r w:rsidRPr="008F5B5A">
        <w:rPr>
          <w:rFonts w:eastAsia="Aptos"/>
          <w:i/>
          <w:iCs/>
        </w:rPr>
        <w:t>Global Health Journal</w:t>
      </w:r>
      <w:r w:rsidRPr="008F5B5A">
        <w:rPr>
          <w:rFonts w:eastAsia="Aptos"/>
        </w:rPr>
        <w:t>, </w:t>
      </w:r>
      <w:r w:rsidRPr="008F5B5A">
        <w:rPr>
          <w:rFonts w:eastAsia="Aptos"/>
          <w:i/>
          <w:iCs/>
        </w:rPr>
        <w:t>5</w:t>
      </w:r>
      <w:r w:rsidRPr="008F5B5A">
        <w:rPr>
          <w:rFonts w:eastAsia="Aptos"/>
        </w:rPr>
        <w:t>(4), 183</w:t>
      </w:r>
      <w:r w:rsidR="00F730A0">
        <w:rPr>
          <w:rFonts w:eastAsia="Aptos"/>
        </w:rPr>
        <w:t>–</w:t>
      </w:r>
      <w:r w:rsidRPr="008F5B5A">
        <w:rPr>
          <w:rFonts w:eastAsia="Aptos"/>
        </w:rPr>
        <w:t xml:space="preserve">189. </w:t>
      </w:r>
      <w:hyperlink r:id="rId66" w:history="1">
        <w:r w:rsidR="00A97CD0" w:rsidRPr="00CF7158">
          <w:rPr>
            <w:rStyle w:val="Hyperlink"/>
            <w:rFonts w:eastAsia="Aptos"/>
          </w:rPr>
          <w:t>https://doi.org/10.1016/j.glohj.2021.11.006</w:t>
        </w:r>
      </w:hyperlink>
    </w:p>
    <w:p w14:paraId="26B0B8EF" w14:textId="54C5532A" w:rsidR="00CF2D19" w:rsidRDefault="00CF2D19" w:rsidP="00CF2D19">
      <w:pPr>
        <w:spacing w:line="480" w:lineRule="auto"/>
        <w:ind w:left="720" w:hanging="720"/>
        <w:contextualSpacing/>
        <w:rPr>
          <w:rFonts w:eastAsia="Aptos"/>
        </w:rPr>
      </w:pPr>
      <w:bookmarkStart w:id="78" w:name="_Hlk192676896"/>
      <w:bookmarkStart w:id="79" w:name="_Hlk192676246"/>
      <w:bookmarkEnd w:id="76"/>
      <w:r w:rsidRPr="008F5B5A">
        <w:rPr>
          <w:rFonts w:eastAsia="Aptos"/>
        </w:rPr>
        <w:lastRenderedPageBreak/>
        <w:t xml:space="preserve">Panahi, M. (2024). </w:t>
      </w:r>
      <w:r w:rsidRPr="008F5B5A">
        <w:rPr>
          <w:rFonts w:eastAsia="Aptos"/>
          <w:i/>
          <w:iCs/>
        </w:rPr>
        <w:t>Intelligent health monitoring systems via flexible hybrid electronics and machine learning</w:t>
      </w:r>
      <w:r w:rsidRPr="008F5B5A">
        <w:rPr>
          <w:rFonts w:eastAsia="Aptos"/>
        </w:rPr>
        <w:t xml:space="preserve">. Western Michigan University. </w:t>
      </w:r>
      <w:r w:rsidR="00947ECD">
        <w:rPr>
          <w:rFonts w:eastAsia="Aptos"/>
        </w:rPr>
        <w:t xml:space="preserve">Retrieved from: </w:t>
      </w:r>
      <w:hyperlink r:id="rId67" w:history="1">
        <w:r w:rsidR="00947ECD" w:rsidRPr="00762559">
          <w:rPr>
            <w:rStyle w:val="Hyperlink"/>
            <w:rFonts w:eastAsia="Aptos"/>
          </w:rPr>
          <w:t>https://scholarworks.wmich.edu/dissertations/4135/</w:t>
        </w:r>
      </w:hyperlink>
    </w:p>
    <w:p w14:paraId="64B36105" w14:textId="45CDCAB8" w:rsidR="00CF2D19" w:rsidRDefault="00CF2D19" w:rsidP="00CF2D19">
      <w:pPr>
        <w:spacing w:line="480" w:lineRule="auto"/>
        <w:ind w:left="720" w:hanging="720"/>
        <w:contextualSpacing/>
        <w:rPr>
          <w:rFonts w:eastAsia="Aptos"/>
        </w:rPr>
      </w:pPr>
      <w:r w:rsidRPr="008F5B5A">
        <w:rPr>
          <w:rFonts w:eastAsia="Aptos"/>
        </w:rPr>
        <w:t>Papus, M., Dima, A. L., Viprey, M., Schott, A. M., Schneider, M. P., &amp; Novais, T. (2022). Motivational interviewing to support medication adherence in adults with chronic conditions: systematic review of randomized controlled trials. </w:t>
      </w:r>
      <w:r w:rsidRPr="008F5B5A">
        <w:rPr>
          <w:rFonts w:eastAsia="Aptos"/>
          <w:i/>
          <w:iCs/>
        </w:rPr>
        <w:t>Patient Education and Counseling</w:t>
      </w:r>
      <w:r w:rsidRPr="008F5B5A">
        <w:rPr>
          <w:rFonts w:eastAsia="Aptos"/>
        </w:rPr>
        <w:t>, </w:t>
      </w:r>
      <w:r w:rsidRPr="008F5B5A">
        <w:rPr>
          <w:rFonts w:eastAsia="Aptos"/>
          <w:i/>
          <w:iCs/>
        </w:rPr>
        <w:t>105</w:t>
      </w:r>
      <w:r w:rsidRPr="008F5B5A">
        <w:rPr>
          <w:rFonts w:eastAsia="Aptos"/>
        </w:rPr>
        <w:t>(11), 3186</w:t>
      </w:r>
      <w:r w:rsidR="00F730A0">
        <w:rPr>
          <w:rFonts w:eastAsia="Aptos"/>
        </w:rPr>
        <w:t>–</w:t>
      </w:r>
      <w:r w:rsidRPr="008F5B5A">
        <w:rPr>
          <w:rFonts w:eastAsia="Aptos"/>
        </w:rPr>
        <w:t xml:space="preserve">3203. </w:t>
      </w:r>
      <w:hyperlink r:id="rId68" w:history="1">
        <w:r w:rsidR="00AF7BFB" w:rsidRPr="00CF7158">
          <w:rPr>
            <w:rStyle w:val="Hyperlink"/>
            <w:rFonts w:eastAsia="Aptos"/>
          </w:rPr>
          <w:t>https://doi.org/10.1016/j.pec.2022.06.013</w:t>
        </w:r>
      </w:hyperlink>
    </w:p>
    <w:bookmarkEnd w:id="78"/>
    <w:bookmarkEnd w:id="79"/>
    <w:p w14:paraId="509DDF7F" w14:textId="213CC0D5" w:rsidR="00CF2D19" w:rsidRDefault="00CF2D19" w:rsidP="00CF2D19">
      <w:pPr>
        <w:spacing w:line="480" w:lineRule="auto"/>
        <w:ind w:left="720" w:hanging="720"/>
        <w:contextualSpacing/>
        <w:rPr>
          <w:rFonts w:eastAsia="Aptos"/>
        </w:rPr>
      </w:pPr>
      <w:r w:rsidRPr="008F5B5A">
        <w:rPr>
          <w:rFonts w:eastAsia="Aptos"/>
        </w:rPr>
        <w:t>Pakulska, T., &amp; Religioni, U. (2023). Implementation of technology in healthcare entities–barriers and success factors. </w:t>
      </w:r>
      <w:r w:rsidRPr="008F5B5A">
        <w:rPr>
          <w:rFonts w:eastAsia="Aptos"/>
          <w:i/>
          <w:iCs/>
        </w:rPr>
        <w:t>Journal of Medical Economics</w:t>
      </w:r>
      <w:r w:rsidRPr="008F5B5A">
        <w:rPr>
          <w:rFonts w:eastAsia="Aptos"/>
        </w:rPr>
        <w:t>, </w:t>
      </w:r>
      <w:r w:rsidRPr="008F5B5A">
        <w:rPr>
          <w:rFonts w:eastAsia="Aptos"/>
          <w:i/>
          <w:iCs/>
        </w:rPr>
        <w:t>26</w:t>
      </w:r>
      <w:r w:rsidRPr="008F5B5A">
        <w:rPr>
          <w:rFonts w:eastAsia="Aptos"/>
        </w:rPr>
        <w:t xml:space="preserve">(1), 821-823. </w:t>
      </w:r>
      <w:hyperlink r:id="rId69" w:history="1">
        <w:r w:rsidR="00F05C2E" w:rsidRPr="00C32E75">
          <w:rPr>
            <w:rStyle w:val="Hyperlink"/>
            <w:rFonts w:eastAsia="Aptos"/>
          </w:rPr>
          <w:t>https://doi.org/10.1080/13696998.2023.2226537</w:t>
        </w:r>
      </w:hyperlink>
    </w:p>
    <w:p w14:paraId="2E68FC42" w14:textId="445DEE39" w:rsidR="00F05C2E" w:rsidRDefault="00F05C2E" w:rsidP="00CF2D19">
      <w:pPr>
        <w:spacing w:line="480" w:lineRule="auto"/>
        <w:ind w:left="720" w:hanging="720"/>
        <w:contextualSpacing/>
        <w:rPr>
          <w:rFonts w:eastAsia="Aptos"/>
        </w:rPr>
      </w:pPr>
      <w:r>
        <w:rPr>
          <w:rFonts w:eastAsia="Aptos"/>
        </w:rPr>
        <w:t xml:space="preserve">Peter G. Peterson Foundation. (2026). </w:t>
      </w:r>
      <w:r w:rsidR="00F730A0">
        <w:rPr>
          <w:rFonts w:eastAsia="Aptos"/>
        </w:rPr>
        <w:t xml:space="preserve">Almost 5% of </w:t>
      </w:r>
      <w:r w:rsidR="00267E1E">
        <w:rPr>
          <w:rFonts w:eastAsia="Aptos"/>
        </w:rPr>
        <w:t>h</w:t>
      </w:r>
      <w:r w:rsidR="00F730A0">
        <w:rPr>
          <w:rFonts w:eastAsia="Aptos"/>
        </w:rPr>
        <w:t xml:space="preserve">ealthcare </w:t>
      </w:r>
      <w:r w:rsidR="00267E1E">
        <w:rPr>
          <w:rFonts w:eastAsia="Aptos"/>
        </w:rPr>
        <w:t>s</w:t>
      </w:r>
      <w:r w:rsidR="00F730A0">
        <w:rPr>
          <w:rFonts w:eastAsia="Aptos"/>
        </w:rPr>
        <w:t xml:space="preserve">pending is </w:t>
      </w:r>
      <w:r w:rsidR="00267E1E">
        <w:rPr>
          <w:rFonts w:eastAsia="Aptos"/>
        </w:rPr>
        <w:t>c</w:t>
      </w:r>
      <w:r w:rsidR="00F730A0">
        <w:rPr>
          <w:rFonts w:eastAsia="Aptos"/>
        </w:rPr>
        <w:t xml:space="preserve">onsidered </w:t>
      </w:r>
      <w:r w:rsidR="00267E1E">
        <w:rPr>
          <w:rFonts w:eastAsia="Aptos"/>
        </w:rPr>
        <w:t>w</w:t>
      </w:r>
      <w:r w:rsidR="00F730A0">
        <w:rPr>
          <w:rFonts w:eastAsia="Aptos"/>
        </w:rPr>
        <w:t xml:space="preserve">asteful. </w:t>
      </w:r>
      <w:r w:rsidR="0076635F">
        <w:rPr>
          <w:rFonts w:eastAsia="Aptos"/>
        </w:rPr>
        <w:t>Here is</w:t>
      </w:r>
      <w:r w:rsidR="00F730A0">
        <w:rPr>
          <w:rFonts w:eastAsia="Aptos"/>
        </w:rPr>
        <w:t xml:space="preserve"> </w:t>
      </w:r>
      <w:r w:rsidR="00267E1E">
        <w:rPr>
          <w:rFonts w:eastAsia="Aptos"/>
        </w:rPr>
        <w:t>w</w:t>
      </w:r>
      <w:r w:rsidR="00F730A0">
        <w:rPr>
          <w:rFonts w:eastAsia="Aptos"/>
        </w:rPr>
        <w:t xml:space="preserve">hy. Retrieved from: </w:t>
      </w:r>
      <w:hyperlink r:id="rId70" w:history="1">
        <w:r w:rsidR="003011EA" w:rsidRPr="00C32E75">
          <w:rPr>
            <w:rStyle w:val="Hyperlink"/>
            <w:rFonts w:eastAsia="Aptos"/>
          </w:rPr>
          <w:t>https://www.pgpf.org/article/almost-25-percent-of-healthcare-spending-is-considered-wasteful-heres-why/</w:t>
        </w:r>
      </w:hyperlink>
    </w:p>
    <w:p w14:paraId="5393ED71" w14:textId="5257DF94" w:rsidR="00CF2D19" w:rsidRDefault="00CF2D19" w:rsidP="00CF2D19">
      <w:pPr>
        <w:spacing w:line="480" w:lineRule="auto"/>
        <w:ind w:left="720" w:hanging="720"/>
        <w:contextualSpacing/>
        <w:rPr>
          <w:rFonts w:eastAsia="Aptos"/>
          <w:lang w:val="pt-BR"/>
        </w:rPr>
      </w:pPr>
      <w:bookmarkStart w:id="80" w:name="_Hlk192677158"/>
      <w:bookmarkStart w:id="81" w:name="_Hlk192674851"/>
      <w:bookmarkEnd w:id="77"/>
      <w:r w:rsidRPr="008F5B5A">
        <w:rPr>
          <w:rFonts w:eastAsia="Aptos"/>
        </w:rPr>
        <w:t>Piña, I. L., Di Palo, K. E., Brown, M. T., Choudhry, N. K., Cvengros, J., Whalen, D., Whitsel, L. P., &amp; Johnson, J. (2021). Medication adherence: Importance, issues, and policy: A policy statement from the American Heart Association. </w:t>
      </w:r>
      <w:r w:rsidRPr="008F02C4">
        <w:rPr>
          <w:rFonts w:eastAsia="Aptos"/>
          <w:i/>
          <w:iCs/>
          <w:lang w:val="pt-BR"/>
        </w:rPr>
        <w:t>Progress in Cardiovascular Diseases</w:t>
      </w:r>
      <w:r w:rsidRPr="008F02C4">
        <w:rPr>
          <w:rFonts w:eastAsia="Aptos"/>
          <w:lang w:val="pt-BR"/>
        </w:rPr>
        <w:t>, </w:t>
      </w:r>
      <w:r w:rsidRPr="008F02C4">
        <w:rPr>
          <w:rFonts w:eastAsia="Aptos"/>
          <w:i/>
          <w:iCs/>
          <w:lang w:val="pt-BR"/>
        </w:rPr>
        <w:t>64</w:t>
      </w:r>
      <w:r w:rsidRPr="008F02C4">
        <w:rPr>
          <w:rFonts w:eastAsia="Aptos"/>
          <w:lang w:val="pt-BR"/>
        </w:rPr>
        <w:t xml:space="preserve">, 111–120. </w:t>
      </w:r>
      <w:hyperlink r:id="rId71" w:history="1">
        <w:r w:rsidR="00AF7BFB" w:rsidRPr="00CF7158">
          <w:rPr>
            <w:rStyle w:val="Hyperlink"/>
            <w:rFonts w:eastAsia="Aptos"/>
            <w:lang w:val="pt-BR"/>
          </w:rPr>
          <w:t>https://doi.org/10.1016/j.pcad.2020.08.003</w:t>
        </w:r>
      </w:hyperlink>
    </w:p>
    <w:p w14:paraId="6D08EDE0" w14:textId="77777777" w:rsidR="00CF2D19" w:rsidRPr="008F5B5A" w:rsidRDefault="00CF2D19" w:rsidP="00CF2D19">
      <w:pPr>
        <w:spacing w:line="480" w:lineRule="auto"/>
        <w:ind w:left="720" w:hanging="720"/>
        <w:contextualSpacing/>
        <w:rPr>
          <w:rFonts w:eastAsia="Aptos"/>
        </w:rPr>
      </w:pPr>
      <w:r w:rsidRPr="008F02C4">
        <w:rPr>
          <w:rFonts w:eastAsia="Aptos"/>
          <w:lang w:val="pt-BR"/>
        </w:rPr>
        <w:t xml:space="preserve">Pinho, S., Cruz, M., Ferreira, F., Ramalho, A., &amp; Sampaio, R. (2021). </w:t>
      </w:r>
      <w:r w:rsidRPr="008F5B5A">
        <w:rPr>
          <w:rFonts w:eastAsia="Aptos"/>
        </w:rPr>
        <w:t>Improving medication adherence in hypertensive patients: A scoping review. </w:t>
      </w:r>
      <w:r w:rsidRPr="008F5B5A">
        <w:rPr>
          <w:rFonts w:eastAsia="Aptos"/>
          <w:i/>
          <w:iCs/>
        </w:rPr>
        <w:t>Preventive medicine</w:t>
      </w:r>
      <w:r w:rsidRPr="008F5B5A">
        <w:rPr>
          <w:rFonts w:eastAsia="Aptos"/>
        </w:rPr>
        <w:t>, </w:t>
      </w:r>
      <w:r w:rsidRPr="008F5B5A">
        <w:rPr>
          <w:rFonts w:eastAsia="Aptos"/>
          <w:i/>
          <w:iCs/>
        </w:rPr>
        <w:t>146</w:t>
      </w:r>
      <w:r w:rsidRPr="008F5B5A">
        <w:rPr>
          <w:rFonts w:eastAsia="Aptos"/>
        </w:rPr>
        <w:t>, 106467. https://doi.org/10.1016/j.ypmed.2021.106467</w:t>
      </w:r>
    </w:p>
    <w:p w14:paraId="0A9AA4D0" w14:textId="3017F645" w:rsidR="00CF2D19" w:rsidRDefault="00CF2D19" w:rsidP="00CF2D19">
      <w:pPr>
        <w:spacing w:line="480" w:lineRule="auto"/>
        <w:ind w:left="720" w:hanging="720"/>
        <w:contextualSpacing/>
        <w:rPr>
          <w:rFonts w:eastAsia="Aptos"/>
        </w:rPr>
      </w:pPr>
      <w:bookmarkStart w:id="82" w:name="_Hlk192680427"/>
      <w:bookmarkStart w:id="83" w:name="_Hlk192676503"/>
      <w:bookmarkStart w:id="84" w:name="_Hlk192673961"/>
      <w:bookmarkEnd w:id="80"/>
      <w:bookmarkEnd w:id="81"/>
      <w:r w:rsidRPr="008F5B5A">
        <w:rPr>
          <w:rFonts w:eastAsia="Aptos"/>
        </w:rPr>
        <w:lastRenderedPageBreak/>
        <w:t>Pouls, B. P. H., Vriezekolk, J. E., Bekker, C. L., Linn, A. J., van Onzenoort, H. A. W., Vervloet, M., van Dulmen, S., &amp; van den Bemt, B. J. F. (2021). Effect of interactive eHealth interventions on improving medication adherence in adults with long-term medication: Systematic review. </w:t>
      </w:r>
      <w:r w:rsidRPr="008F5B5A">
        <w:rPr>
          <w:rFonts w:eastAsia="Aptos"/>
          <w:i/>
          <w:iCs/>
        </w:rPr>
        <w:t>Journal of Medical Internet Research</w:t>
      </w:r>
      <w:r w:rsidRPr="008F5B5A">
        <w:rPr>
          <w:rFonts w:eastAsia="Aptos"/>
        </w:rPr>
        <w:t>, </w:t>
      </w:r>
      <w:r w:rsidRPr="008F5B5A">
        <w:rPr>
          <w:rFonts w:eastAsia="Aptos"/>
          <w:i/>
          <w:iCs/>
        </w:rPr>
        <w:t>23</w:t>
      </w:r>
      <w:r w:rsidRPr="008F5B5A">
        <w:rPr>
          <w:rFonts w:eastAsia="Aptos"/>
        </w:rPr>
        <w:t xml:space="preserve">(1), e18901. </w:t>
      </w:r>
      <w:hyperlink r:id="rId72" w:history="1">
        <w:r w:rsidR="00A97CD0" w:rsidRPr="00CF7158">
          <w:rPr>
            <w:rStyle w:val="Hyperlink"/>
            <w:rFonts w:eastAsia="Aptos"/>
          </w:rPr>
          <w:t>https://doi.org/10.2196/18901</w:t>
        </w:r>
      </w:hyperlink>
    </w:p>
    <w:p w14:paraId="69B16B8B" w14:textId="5EFF1D18" w:rsidR="00CF2D19" w:rsidRDefault="00CF2D19" w:rsidP="00CF2D19">
      <w:pPr>
        <w:spacing w:line="480" w:lineRule="auto"/>
        <w:ind w:left="720" w:hanging="720"/>
        <w:contextualSpacing/>
        <w:rPr>
          <w:rFonts w:eastAsia="Aptos"/>
        </w:rPr>
      </w:pPr>
      <w:r w:rsidRPr="008F5B5A">
        <w:rPr>
          <w:rFonts w:eastAsia="Aptos"/>
        </w:rPr>
        <w:t>Pradhan, B., Bhattacharyya, S., &amp; Pal, K. (2021). IoT‐based applications in healthcare devices. </w:t>
      </w:r>
      <w:r w:rsidRPr="008F5B5A">
        <w:rPr>
          <w:rFonts w:eastAsia="Aptos"/>
          <w:i/>
          <w:iCs/>
        </w:rPr>
        <w:t>Journal of Healthcare Engineering</w:t>
      </w:r>
      <w:r w:rsidRPr="008F5B5A">
        <w:rPr>
          <w:rFonts w:eastAsia="Aptos"/>
        </w:rPr>
        <w:t>, </w:t>
      </w:r>
      <w:r w:rsidRPr="008F5B5A">
        <w:rPr>
          <w:rFonts w:eastAsia="Aptos"/>
          <w:i/>
          <w:iCs/>
        </w:rPr>
        <w:t>2021</w:t>
      </w:r>
      <w:r w:rsidRPr="008F5B5A">
        <w:rPr>
          <w:rFonts w:eastAsia="Aptos"/>
        </w:rPr>
        <w:t xml:space="preserve">(1), 6632599. </w:t>
      </w:r>
      <w:hyperlink r:id="rId73" w:history="1">
        <w:r w:rsidR="00AF7BFB" w:rsidRPr="00CF7158">
          <w:rPr>
            <w:rStyle w:val="Hyperlink"/>
            <w:rFonts w:eastAsia="Aptos"/>
          </w:rPr>
          <w:t>https://doi.org/10.1155/2021/6632599</w:t>
        </w:r>
      </w:hyperlink>
    </w:p>
    <w:p w14:paraId="5677A53C" w14:textId="45D6D60E" w:rsidR="00CF2D19" w:rsidRDefault="00CF2D19" w:rsidP="00CF2D19">
      <w:pPr>
        <w:spacing w:line="480" w:lineRule="auto"/>
        <w:ind w:left="720" w:hanging="720"/>
        <w:contextualSpacing/>
        <w:rPr>
          <w:rFonts w:eastAsia="Aptos"/>
        </w:rPr>
      </w:pPr>
      <w:bookmarkStart w:id="85" w:name="_Hlk192916435"/>
      <w:bookmarkStart w:id="86" w:name="_Hlk192763921"/>
      <w:bookmarkEnd w:id="82"/>
      <w:r w:rsidRPr="008F5B5A">
        <w:rPr>
          <w:rFonts w:eastAsia="Aptos"/>
        </w:rPr>
        <w:t>Raihan, N., &amp; Cogburn</w:t>
      </w:r>
      <w:bookmarkEnd w:id="85"/>
      <w:r w:rsidRPr="008F5B5A">
        <w:rPr>
          <w:rFonts w:eastAsia="Aptos"/>
        </w:rPr>
        <w:t xml:space="preserve">, M. (2023). </w:t>
      </w:r>
      <w:r w:rsidRPr="008F5B5A">
        <w:rPr>
          <w:rFonts w:eastAsia="Aptos"/>
          <w:i/>
          <w:iCs/>
        </w:rPr>
        <w:t>Stages of change theory</w:t>
      </w:r>
      <w:r w:rsidRPr="008F5B5A">
        <w:rPr>
          <w:rFonts w:eastAsia="Aptos"/>
        </w:rPr>
        <w:t>. StatPearls</w:t>
      </w:r>
      <w:r w:rsidRPr="008F5B5A">
        <w:rPr>
          <w:rFonts w:eastAsia="Aptos"/>
          <w:i/>
          <w:iCs/>
        </w:rPr>
        <w:t xml:space="preserve">. </w:t>
      </w:r>
      <w:hyperlink r:id="rId74" w:history="1">
        <w:r w:rsidR="00A97CD0" w:rsidRPr="00CF7158">
          <w:rPr>
            <w:rStyle w:val="Hyperlink"/>
            <w:rFonts w:eastAsia="Aptos"/>
          </w:rPr>
          <w:t>https://www.ncbi.nlm.nih.gov/books/NBK556005/</w:t>
        </w:r>
      </w:hyperlink>
    </w:p>
    <w:p w14:paraId="7FA4F75B" w14:textId="6B1F6043" w:rsidR="00A97CD0" w:rsidRDefault="00A97CD0" w:rsidP="00CF2D19">
      <w:pPr>
        <w:spacing w:line="480" w:lineRule="auto"/>
        <w:ind w:left="720" w:hanging="720"/>
        <w:contextualSpacing/>
        <w:rPr>
          <w:rFonts w:eastAsia="Aptos"/>
        </w:rPr>
      </w:pPr>
      <w:bookmarkStart w:id="87" w:name="_Hlk192678697"/>
      <w:bookmarkEnd w:id="83"/>
      <w:bookmarkEnd w:id="86"/>
      <w:r w:rsidRPr="00A97CD0">
        <w:rPr>
          <w:rFonts w:eastAsia="Aptos"/>
        </w:rPr>
        <w:t>Ramachandran, M., Brinton, C., Wiljer, D., Upshur, R., &amp; Gray, C. S. (2023). The impact of eHealth on relationships and trust in primary care: a review of reviews. </w:t>
      </w:r>
      <w:r w:rsidRPr="00A97CD0">
        <w:rPr>
          <w:rFonts w:eastAsia="Aptos"/>
          <w:i/>
          <w:iCs/>
        </w:rPr>
        <w:t xml:space="preserve">BMC </w:t>
      </w:r>
      <w:r>
        <w:rPr>
          <w:rFonts w:eastAsia="Aptos"/>
          <w:i/>
          <w:iCs/>
        </w:rPr>
        <w:t>Primary Care</w:t>
      </w:r>
      <w:r w:rsidRPr="00A97CD0">
        <w:rPr>
          <w:rFonts w:eastAsia="Aptos"/>
        </w:rPr>
        <w:t>, </w:t>
      </w:r>
      <w:r w:rsidRPr="00A97CD0">
        <w:rPr>
          <w:rFonts w:eastAsia="Aptos"/>
          <w:i/>
          <w:iCs/>
        </w:rPr>
        <w:t>24</w:t>
      </w:r>
      <w:r w:rsidRPr="00A97CD0">
        <w:rPr>
          <w:rFonts w:eastAsia="Aptos"/>
        </w:rPr>
        <w:t xml:space="preserve">(1), 228. </w:t>
      </w:r>
      <w:hyperlink r:id="rId75" w:history="1">
        <w:r w:rsidRPr="00CF7158">
          <w:rPr>
            <w:rStyle w:val="Hyperlink"/>
            <w:rFonts w:eastAsia="Aptos"/>
          </w:rPr>
          <w:t>https://doi.org/10.1186/s12875-023-02176-5</w:t>
        </w:r>
      </w:hyperlink>
    </w:p>
    <w:p w14:paraId="0EE81EF7" w14:textId="5A5C19DE" w:rsidR="00CF2D19" w:rsidRDefault="00CF2D19" w:rsidP="00CF2D19">
      <w:pPr>
        <w:spacing w:line="480" w:lineRule="auto"/>
        <w:ind w:left="720" w:hanging="720"/>
        <w:contextualSpacing/>
        <w:rPr>
          <w:rFonts w:eastAsia="Aptos"/>
        </w:rPr>
      </w:pPr>
      <w:r w:rsidRPr="008F5B5A">
        <w:rPr>
          <w:rFonts w:eastAsia="Aptos"/>
        </w:rPr>
        <w:t xml:space="preserve">Ravi, P., Pfaff, K., Ralph, J., Cruz, E., Bellaire, M., &amp; Fontanin, G. (2022). Nurse-pharmacist </w:t>
      </w:r>
      <w:r w:rsidR="00267E1E">
        <w:rPr>
          <w:rFonts w:eastAsia="Aptos"/>
        </w:rPr>
        <w:t>c</w:t>
      </w:r>
      <w:r w:rsidRPr="008F5B5A">
        <w:rPr>
          <w:rFonts w:eastAsia="Aptos"/>
        </w:rPr>
        <w:t xml:space="preserve">ollaborations for </w:t>
      </w:r>
      <w:r w:rsidR="00267E1E">
        <w:rPr>
          <w:rFonts w:eastAsia="Aptos"/>
        </w:rPr>
        <w:t>p</w:t>
      </w:r>
      <w:r w:rsidRPr="008F5B5A">
        <w:rPr>
          <w:rFonts w:eastAsia="Aptos"/>
        </w:rPr>
        <w:t xml:space="preserve">romoting </w:t>
      </w:r>
      <w:r w:rsidR="00267E1E">
        <w:rPr>
          <w:rFonts w:eastAsia="Aptos"/>
        </w:rPr>
        <w:t>m</w:t>
      </w:r>
      <w:r w:rsidRPr="008F5B5A">
        <w:rPr>
          <w:rFonts w:eastAsia="Aptos"/>
        </w:rPr>
        <w:t xml:space="preserve">edication </w:t>
      </w:r>
      <w:r w:rsidR="00267E1E">
        <w:rPr>
          <w:rFonts w:eastAsia="Aptos"/>
        </w:rPr>
        <w:t>s</w:t>
      </w:r>
      <w:r w:rsidRPr="008F5B5A">
        <w:rPr>
          <w:rFonts w:eastAsia="Aptos"/>
        </w:rPr>
        <w:t xml:space="preserve">afety among </w:t>
      </w:r>
      <w:r w:rsidR="00267E1E">
        <w:rPr>
          <w:rFonts w:eastAsia="Aptos"/>
        </w:rPr>
        <w:t>c</w:t>
      </w:r>
      <w:r w:rsidRPr="008F5B5A">
        <w:rPr>
          <w:rFonts w:eastAsia="Aptos"/>
        </w:rPr>
        <w:t>ommunity-</w:t>
      </w:r>
      <w:r w:rsidR="00267E1E">
        <w:rPr>
          <w:rFonts w:eastAsia="Aptos"/>
        </w:rPr>
        <w:t>d</w:t>
      </w:r>
      <w:r w:rsidRPr="008F5B5A">
        <w:rPr>
          <w:rFonts w:eastAsia="Aptos"/>
        </w:rPr>
        <w:t xml:space="preserve">welling </w:t>
      </w:r>
      <w:r w:rsidR="00267E1E">
        <w:rPr>
          <w:rFonts w:eastAsia="Aptos"/>
        </w:rPr>
        <w:t>a</w:t>
      </w:r>
      <w:r w:rsidRPr="008F5B5A">
        <w:rPr>
          <w:rFonts w:eastAsia="Aptos"/>
        </w:rPr>
        <w:t>dults: A scoping review. </w:t>
      </w:r>
      <w:r w:rsidRPr="008F5B5A">
        <w:rPr>
          <w:rFonts w:eastAsia="Aptos"/>
          <w:i/>
          <w:iCs/>
        </w:rPr>
        <w:t>International Journal of Nursing Studies Advances</w:t>
      </w:r>
      <w:r w:rsidRPr="008F5B5A">
        <w:rPr>
          <w:rFonts w:eastAsia="Aptos"/>
        </w:rPr>
        <w:t>, </w:t>
      </w:r>
      <w:r w:rsidRPr="008F5B5A">
        <w:rPr>
          <w:rFonts w:eastAsia="Aptos"/>
          <w:i/>
          <w:iCs/>
        </w:rPr>
        <w:t>4</w:t>
      </w:r>
      <w:r w:rsidRPr="008F5B5A">
        <w:rPr>
          <w:rFonts w:eastAsia="Aptos"/>
        </w:rPr>
        <w:t xml:space="preserve">, 100079. </w:t>
      </w:r>
      <w:hyperlink r:id="rId76" w:history="1">
        <w:r w:rsidR="00A97CD0" w:rsidRPr="00CF7158">
          <w:rPr>
            <w:rStyle w:val="Hyperlink"/>
            <w:rFonts w:eastAsia="Aptos"/>
          </w:rPr>
          <w:t>https://doi.org/10.1016/j.ijnsa.2022.100079</w:t>
        </w:r>
      </w:hyperlink>
    </w:p>
    <w:p w14:paraId="79F8AA9D" w14:textId="573DBA10" w:rsidR="00CF2D19" w:rsidRDefault="00CF2D19" w:rsidP="00CF2D19">
      <w:pPr>
        <w:spacing w:line="480" w:lineRule="auto"/>
        <w:ind w:left="720" w:hanging="720"/>
        <w:contextualSpacing/>
        <w:rPr>
          <w:rFonts w:eastAsia="Aptos"/>
          <w:lang w:val="es-ES"/>
        </w:rPr>
      </w:pPr>
      <w:r w:rsidRPr="008F5B5A">
        <w:rPr>
          <w:rFonts w:eastAsia="Aptos"/>
        </w:rPr>
        <w:t xml:space="preserve">Rawas, S. (2024). Transforming </w:t>
      </w:r>
      <w:r w:rsidR="00267E1E">
        <w:rPr>
          <w:rFonts w:eastAsia="Aptos"/>
        </w:rPr>
        <w:t>h</w:t>
      </w:r>
      <w:r w:rsidRPr="008F5B5A">
        <w:rPr>
          <w:rFonts w:eastAsia="Aptos"/>
        </w:rPr>
        <w:t xml:space="preserve">ealthcare </w:t>
      </w:r>
      <w:r w:rsidR="00267E1E">
        <w:rPr>
          <w:rFonts w:eastAsia="Aptos"/>
        </w:rPr>
        <w:t>d</w:t>
      </w:r>
      <w:r w:rsidRPr="008F5B5A">
        <w:rPr>
          <w:rFonts w:eastAsia="Aptos"/>
        </w:rPr>
        <w:t xml:space="preserve">elivery: </w:t>
      </w:r>
      <w:r w:rsidR="00533408">
        <w:rPr>
          <w:rFonts w:eastAsia="Aptos"/>
        </w:rPr>
        <w:t>N</w:t>
      </w:r>
      <w:r w:rsidRPr="008F5B5A">
        <w:rPr>
          <w:rFonts w:eastAsia="Aptos"/>
        </w:rPr>
        <w:t xml:space="preserve">ext-generation </w:t>
      </w:r>
      <w:r w:rsidR="00267E1E">
        <w:rPr>
          <w:rFonts w:eastAsia="Aptos"/>
        </w:rPr>
        <w:t>m</w:t>
      </w:r>
      <w:r w:rsidRPr="008F5B5A">
        <w:rPr>
          <w:rFonts w:eastAsia="Aptos"/>
        </w:rPr>
        <w:t xml:space="preserve">edication </w:t>
      </w:r>
      <w:r w:rsidR="00267E1E">
        <w:rPr>
          <w:rFonts w:eastAsia="Aptos"/>
        </w:rPr>
        <w:t>m</w:t>
      </w:r>
      <w:r w:rsidRPr="008F5B5A">
        <w:rPr>
          <w:rFonts w:eastAsia="Aptos"/>
        </w:rPr>
        <w:t>anagement in</w:t>
      </w:r>
      <w:r w:rsidR="000E0812">
        <w:rPr>
          <w:rFonts w:eastAsia="Aptos"/>
        </w:rPr>
        <w:t xml:space="preserve"> </w:t>
      </w:r>
      <w:r w:rsidR="00267E1E">
        <w:rPr>
          <w:rFonts w:eastAsia="Aptos"/>
        </w:rPr>
        <w:t>s</w:t>
      </w:r>
      <w:r w:rsidRPr="008F5B5A">
        <w:rPr>
          <w:rFonts w:eastAsia="Aptos"/>
        </w:rPr>
        <w:t xml:space="preserve">mart </w:t>
      </w:r>
      <w:r w:rsidR="00267E1E">
        <w:rPr>
          <w:rFonts w:eastAsia="Aptos"/>
        </w:rPr>
        <w:t>h</w:t>
      </w:r>
      <w:r w:rsidRPr="008F5B5A">
        <w:rPr>
          <w:rFonts w:eastAsia="Aptos"/>
        </w:rPr>
        <w:t>ospitals through IoMT and ML. </w:t>
      </w:r>
      <w:r w:rsidRPr="008F02C4">
        <w:rPr>
          <w:rFonts w:eastAsia="Aptos"/>
          <w:i/>
          <w:iCs/>
          <w:lang w:val="es-ES"/>
        </w:rPr>
        <w:t>Discover Artificial Intelligence</w:t>
      </w:r>
      <w:r w:rsidRPr="008F02C4">
        <w:rPr>
          <w:rFonts w:eastAsia="Aptos"/>
          <w:lang w:val="es-ES"/>
        </w:rPr>
        <w:t>, </w:t>
      </w:r>
      <w:r w:rsidRPr="008F02C4">
        <w:rPr>
          <w:rFonts w:eastAsia="Aptos"/>
          <w:i/>
          <w:iCs/>
          <w:lang w:val="es-ES"/>
        </w:rPr>
        <w:t>4</w:t>
      </w:r>
      <w:r w:rsidRPr="008F02C4">
        <w:rPr>
          <w:rFonts w:eastAsia="Aptos"/>
          <w:lang w:val="es-ES"/>
        </w:rPr>
        <w:t xml:space="preserve">(1), 31. </w:t>
      </w:r>
      <w:hyperlink r:id="rId77" w:history="1">
        <w:r w:rsidR="00A97CD0" w:rsidRPr="00CF7158">
          <w:rPr>
            <w:rStyle w:val="Hyperlink"/>
            <w:rFonts w:eastAsia="Aptos"/>
            <w:lang w:val="es-ES"/>
          </w:rPr>
          <w:t>https://doi.org/10.1007/s44163-024-00128-1</w:t>
        </w:r>
      </w:hyperlink>
    </w:p>
    <w:p w14:paraId="53B654C7" w14:textId="10B01A6A" w:rsidR="00CF2D19" w:rsidRDefault="00CF2D19" w:rsidP="00CF2D19">
      <w:pPr>
        <w:spacing w:line="480" w:lineRule="auto"/>
        <w:ind w:left="720" w:hanging="720"/>
        <w:contextualSpacing/>
        <w:rPr>
          <w:rFonts w:eastAsia="Aptos"/>
        </w:rPr>
      </w:pPr>
      <w:bookmarkStart w:id="88" w:name="_Hlk192674134"/>
      <w:bookmarkEnd w:id="84"/>
      <w:bookmarkEnd w:id="87"/>
      <w:r w:rsidRPr="008F02C4">
        <w:rPr>
          <w:rFonts w:eastAsia="Aptos"/>
          <w:lang w:val="es-ES"/>
        </w:rPr>
        <w:t xml:space="preserve">Ridho, A., Alfian, S. D., van Boven, J. F. M., Levita, J., Yalcin, E. A., Le, L., Alffenaar, J. W., Hak, E., Abdulah, R., &amp; Pradipta, I. S. (2022). </w:t>
      </w:r>
      <w:r w:rsidRPr="008F5B5A">
        <w:rPr>
          <w:rFonts w:eastAsia="Aptos"/>
        </w:rPr>
        <w:t xml:space="preserve">Digital </w:t>
      </w:r>
      <w:r w:rsidR="00267E1E">
        <w:rPr>
          <w:rFonts w:eastAsia="Aptos"/>
        </w:rPr>
        <w:t>h</w:t>
      </w:r>
      <w:r w:rsidRPr="008F5B5A">
        <w:rPr>
          <w:rFonts w:eastAsia="Aptos"/>
        </w:rPr>
        <w:t xml:space="preserve">ealth </w:t>
      </w:r>
      <w:r w:rsidR="00267E1E">
        <w:rPr>
          <w:rFonts w:eastAsia="Aptos"/>
        </w:rPr>
        <w:t>t</w:t>
      </w:r>
      <w:r w:rsidRPr="008F5B5A">
        <w:rPr>
          <w:rFonts w:eastAsia="Aptos"/>
        </w:rPr>
        <w:t xml:space="preserve">echnologies to </w:t>
      </w:r>
      <w:r w:rsidR="00267E1E">
        <w:rPr>
          <w:rFonts w:eastAsia="Aptos"/>
        </w:rPr>
        <w:t>i</w:t>
      </w:r>
      <w:r w:rsidRPr="008F5B5A">
        <w:rPr>
          <w:rFonts w:eastAsia="Aptos"/>
        </w:rPr>
        <w:t xml:space="preserve">mprove </w:t>
      </w:r>
      <w:r w:rsidR="00267E1E">
        <w:rPr>
          <w:rFonts w:eastAsia="Aptos"/>
        </w:rPr>
        <w:t>m</w:t>
      </w:r>
      <w:r w:rsidRPr="008F5B5A">
        <w:rPr>
          <w:rFonts w:eastAsia="Aptos"/>
        </w:rPr>
        <w:t xml:space="preserve">edication </w:t>
      </w:r>
      <w:r w:rsidR="00267E1E">
        <w:rPr>
          <w:rFonts w:eastAsia="Aptos"/>
        </w:rPr>
        <w:t>a</w:t>
      </w:r>
      <w:r w:rsidRPr="008F5B5A">
        <w:rPr>
          <w:rFonts w:eastAsia="Aptos"/>
        </w:rPr>
        <w:t xml:space="preserve">dherence and </w:t>
      </w:r>
      <w:r w:rsidR="00267E1E">
        <w:rPr>
          <w:rFonts w:eastAsia="Aptos"/>
        </w:rPr>
        <w:t>t</w:t>
      </w:r>
      <w:r w:rsidRPr="008F5B5A">
        <w:rPr>
          <w:rFonts w:eastAsia="Aptos"/>
        </w:rPr>
        <w:t xml:space="preserve">reatment </w:t>
      </w:r>
      <w:r w:rsidR="00267E1E">
        <w:rPr>
          <w:rFonts w:eastAsia="Aptos"/>
        </w:rPr>
        <w:t>o</w:t>
      </w:r>
      <w:r w:rsidRPr="008F5B5A">
        <w:rPr>
          <w:rFonts w:eastAsia="Aptos"/>
        </w:rPr>
        <w:t xml:space="preserve">utcomes in </w:t>
      </w:r>
      <w:r w:rsidR="00267E1E">
        <w:rPr>
          <w:rFonts w:eastAsia="Aptos"/>
        </w:rPr>
        <w:t>p</w:t>
      </w:r>
      <w:r w:rsidRPr="008F5B5A">
        <w:rPr>
          <w:rFonts w:eastAsia="Aptos"/>
        </w:rPr>
        <w:t xml:space="preserve">atients with </w:t>
      </w:r>
      <w:r w:rsidR="00267E1E">
        <w:rPr>
          <w:rFonts w:eastAsia="Aptos"/>
        </w:rPr>
        <w:lastRenderedPageBreak/>
        <w:t>t</w:t>
      </w:r>
      <w:r w:rsidRPr="008F5B5A">
        <w:rPr>
          <w:rFonts w:eastAsia="Aptos"/>
        </w:rPr>
        <w:t xml:space="preserve">uberculosis: </w:t>
      </w:r>
      <w:r w:rsidR="00267E1E">
        <w:rPr>
          <w:rFonts w:eastAsia="Aptos"/>
        </w:rPr>
        <w:t>S</w:t>
      </w:r>
      <w:r w:rsidRPr="008F5B5A">
        <w:rPr>
          <w:rFonts w:eastAsia="Aptos"/>
        </w:rPr>
        <w:t xml:space="preserve">ystematic </w:t>
      </w:r>
      <w:r w:rsidR="00267E1E">
        <w:rPr>
          <w:rFonts w:eastAsia="Aptos"/>
        </w:rPr>
        <w:t>r</w:t>
      </w:r>
      <w:r w:rsidRPr="008F5B5A">
        <w:rPr>
          <w:rFonts w:eastAsia="Aptos"/>
        </w:rPr>
        <w:t xml:space="preserve">eview of </w:t>
      </w:r>
      <w:r w:rsidR="00267E1E">
        <w:rPr>
          <w:rFonts w:eastAsia="Aptos"/>
        </w:rPr>
        <w:t>r</w:t>
      </w:r>
      <w:r w:rsidRPr="008F5B5A">
        <w:rPr>
          <w:rFonts w:eastAsia="Aptos"/>
        </w:rPr>
        <w:t xml:space="preserve">andomized </w:t>
      </w:r>
      <w:r w:rsidR="00267E1E">
        <w:rPr>
          <w:rFonts w:eastAsia="Aptos"/>
        </w:rPr>
        <w:t>c</w:t>
      </w:r>
      <w:r w:rsidR="00533408">
        <w:rPr>
          <w:rFonts w:eastAsia="Aptos"/>
        </w:rPr>
        <w:t xml:space="preserve">ontrolled </w:t>
      </w:r>
      <w:r w:rsidR="00267E1E">
        <w:rPr>
          <w:rFonts w:eastAsia="Aptos"/>
        </w:rPr>
        <w:t>t</w:t>
      </w:r>
      <w:r w:rsidR="00533408">
        <w:rPr>
          <w:rFonts w:eastAsia="Aptos"/>
        </w:rPr>
        <w:t>rials</w:t>
      </w:r>
      <w:r w:rsidRPr="008F5B5A">
        <w:rPr>
          <w:rFonts w:eastAsia="Aptos"/>
        </w:rPr>
        <w:t>. </w:t>
      </w:r>
      <w:r w:rsidRPr="008F5B5A">
        <w:rPr>
          <w:rFonts w:eastAsia="Aptos"/>
          <w:i/>
          <w:iCs/>
        </w:rPr>
        <w:t xml:space="preserve">Journal of </w:t>
      </w:r>
      <w:r w:rsidR="00533408">
        <w:rPr>
          <w:rFonts w:eastAsia="Aptos"/>
          <w:i/>
          <w:iCs/>
        </w:rPr>
        <w:t>Medical Internet Research</w:t>
      </w:r>
      <w:r w:rsidRPr="008F5B5A">
        <w:rPr>
          <w:rFonts w:eastAsia="Aptos"/>
        </w:rPr>
        <w:t>, </w:t>
      </w:r>
      <w:r w:rsidRPr="008F5B5A">
        <w:rPr>
          <w:rFonts w:eastAsia="Aptos"/>
          <w:i/>
          <w:iCs/>
        </w:rPr>
        <w:t>24</w:t>
      </w:r>
      <w:r w:rsidRPr="008F5B5A">
        <w:rPr>
          <w:rFonts w:eastAsia="Aptos"/>
        </w:rPr>
        <w:t xml:space="preserve">(2), e33062. </w:t>
      </w:r>
      <w:hyperlink r:id="rId78" w:history="1">
        <w:r w:rsidR="00A97CD0" w:rsidRPr="00CF7158">
          <w:rPr>
            <w:rStyle w:val="Hyperlink"/>
            <w:rFonts w:eastAsia="Aptos"/>
          </w:rPr>
          <w:t>https://doi.org/10.2196/33062</w:t>
        </w:r>
      </w:hyperlink>
    </w:p>
    <w:p w14:paraId="14DF26FE" w14:textId="025DF8C3" w:rsidR="00CF2D19" w:rsidRDefault="00CF2D19" w:rsidP="00CF2D19">
      <w:pPr>
        <w:spacing w:line="480" w:lineRule="auto"/>
        <w:ind w:left="720" w:hanging="720"/>
        <w:contextualSpacing/>
        <w:rPr>
          <w:rFonts w:eastAsia="Aptos"/>
        </w:rPr>
      </w:pPr>
      <w:r w:rsidRPr="008F5B5A">
        <w:rPr>
          <w:rFonts w:eastAsia="Aptos"/>
        </w:rPr>
        <w:t xml:space="preserve">Sazali, M. F., Rahim, S. S. S. A., Mohammad, A. H., Kadir, F., Payus, A. O., Avoi, R., Jeffree, M. S., Omar, A., Ibrahim, M. Y., Atil, A., Tuah, N. M., Dapari, R., Lansing, M. G., Rahim, A. A. A., &amp; Azhar, Z. I. (2023). Improving </w:t>
      </w:r>
      <w:r w:rsidR="00267E1E">
        <w:rPr>
          <w:rFonts w:eastAsia="Aptos"/>
        </w:rPr>
        <w:t>t</w:t>
      </w:r>
      <w:r w:rsidRPr="008F5B5A">
        <w:rPr>
          <w:rFonts w:eastAsia="Aptos"/>
        </w:rPr>
        <w:t xml:space="preserve">uberculosis </w:t>
      </w:r>
      <w:r w:rsidR="00267E1E">
        <w:rPr>
          <w:rFonts w:eastAsia="Aptos"/>
        </w:rPr>
        <w:t>m</w:t>
      </w:r>
      <w:r w:rsidRPr="008F5B5A">
        <w:rPr>
          <w:rFonts w:eastAsia="Aptos"/>
        </w:rPr>
        <w:t xml:space="preserve">edication </w:t>
      </w:r>
      <w:r w:rsidR="00267E1E">
        <w:rPr>
          <w:rFonts w:eastAsia="Aptos"/>
        </w:rPr>
        <w:t>a</w:t>
      </w:r>
      <w:r w:rsidR="00533408">
        <w:rPr>
          <w:rFonts w:eastAsia="Aptos"/>
        </w:rPr>
        <w:t xml:space="preserve">dherence: The </w:t>
      </w:r>
      <w:r w:rsidR="00267E1E">
        <w:rPr>
          <w:rFonts w:eastAsia="Aptos"/>
        </w:rPr>
        <w:t>p</w:t>
      </w:r>
      <w:r w:rsidR="00533408">
        <w:rPr>
          <w:rFonts w:eastAsia="Aptos"/>
        </w:rPr>
        <w:t xml:space="preserve">otential of </w:t>
      </w:r>
      <w:r w:rsidR="00267E1E">
        <w:rPr>
          <w:rFonts w:eastAsia="Aptos"/>
        </w:rPr>
        <w:t>i</w:t>
      </w:r>
      <w:r w:rsidR="00533408">
        <w:rPr>
          <w:rFonts w:eastAsia="Aptos"/>
        </w:rPr>
        <w:t xml:space="preserve">ntegrating </w:t>
      </w:r>
      <w:r w:rsidR="00267E1E">
        <w:rPr>
          <w:rFonts w:eastAsia="Aptos"/>
        </w:rPr>
        <w:t>d</w:t>
      </w:r>
      <w:r w:rsidR="00533408">
        <w:rPr>
          <w:rFonts w:eastAsia="Aptos"/>
        </w:rPr>
        <w:t xml:space="preserve">igital </w:t>
      </w:r>
      <w:r w:rsidR="00267E1E">
        <w:rPr>
          <w:rFonts w:eastAsia="Aptos"/>
        </w:rPr>
        <w:t>t</w:t>
      </w:r>
      <w:r w:rsidR="00533408">
        <w:rPr>
          <w:rFonts w:eastAsia="Aptos"/>
        </w:rPr>
        <w:t xml:space="preserve">echnology and the </w:t>
      </w:r>
      <w:r w:rsidR="00267E1E">
        <w:rPr>
          <w:rFonts w:eastAsia="Aptos"/>
        </w:rPr>
        <w:t>h</w:t>
      </w:r>
      <w:r w:rsidR="00533408">
        <w:rPr>
          <w:rFonts w:eastAsia="Aptos"/>
        </w:rPr>
        <w:t xml:space="preserve">ealth </w:t>
      </w:r>
      <w:r w:rsidR="00267E1E">
        <w:rPr>
          <w:rFonts w:eastAsia="Aptos"/>
        </w:rPr>
        <w:t>b</w:t>
      </w:r>
      <w:r w:rsidR="00533408">
        <w:rPr>
          <w:rFonts w:eastAsia="Aptos"/>
        </w:rPr>
        <w:t xml:space="preserve">elief </w:t>
      </w:r>
      <w:r w:rsidR="00267E1E">
        <w:rPr>
          <w:rFonts w:eastAsia="Aptos"/>
        </w:rPr>
        <w:t>m</w:t>
      </w:r>
      <w:r w:rsidR="00533408">
        <w:rPr>
          <w:rFonts w:eastAsia="Aptos"/>
        </w:rPr>
        <w:t>odel</w:t>
      </w:r>
      <w:r w:rsidRPr="008F5B5A">
        <w:rPr>
          <w:rFonts w:eastAsia="Aptos"/>
        </w:rPr>
        <w:t>. </w:t>
      </w:r>
      <w:r w:rsidRPr="008F5B5A">
        <w:rPr>
          <w:rFonts w:eastAsia="Aptos"/>
          <w:i/>
          <w:iCs/>
        </w:rPr>
        <w:t>Tuberculosis and respiratory diseases</w:t>
      </w:r>
      <w:r w:rsidRPr="008F5B5A">
        <w:rPr>
          <w:rFonts w:eastAsia="Aptos"/>
        </w:rPr>
        <w:t>, </w:t>
      </w:r>
      <w:r w:rsidRPr="008F5B5A">
        <w:rPr>
          <w:rFonts w:eastAsia="Aptos"/>
          <w:i/>
          <w:iCs/>
        </w:rPr>
        <w:t>86</w:t>
      </w:r>
      <w:r w:rsidRPr="008F5B5A">
        <w:rPr>
          <w:rFonts w:eastAsia="Aptos"/>
        </w:rPr>
        <w:t xml:space="preserve">(2), 82–93. </w:t>
      </w:r>
      <w:hyperlink r:id="rId79" w:history="1">
        <w:r w:rsidR="00A97CD0" w:rsidRPr="00CF7158">
          <w:rPr>
            <w:rStyle w:val="Hyperlink"/>
            <w:rFonts w:eastAsia="Aptos"/>
          </w:rPr>
          <w:t>https://doi.org/10.4046/trd.2022.0148</w:t>
        </w:r>
      </w:hyperlink>
    </w:p>
    <w:bookmarkEnd w:id="88"/>
    <w:p w14:paraId="4FE7A9CD" w14:textId="7BFAAF4B" w:rsidR="00CF2D19" w:rsidRDefault="00CF2D19" w:rsidP="00CF2D19">
      <w:pPr>
        <w:spacing w:line="480" w:lineRule="auto"/>
        <w:ind w:left="720" w:hanging="720"/>
        <w:contextualSpacing/>
        <w:rPr>
          <w:rFonts w:eastAsia="Aptos"/>
        </w:rPr>
      </w:pPr>
      <w:r w:rsidRPr="008F5B5A">
        <w:rPr>
          <w:rFonts w:eastAsia="Aptos"/>
        </w:rPr>
        <w:t xml:space="preserve">Schnipper, J. L., Samal, L., Nolido, N., Yoon, C., Dalal, A. K., Magny-Normilus, C., Bitton, A., Thompson, R., Labonville, S., &amp; Crevensten, G. (2021). The </w:t>
      </w:r>
      <w:r w:rsidR="00267E1E">
        <w:rPr>
          <w:rFonts w:eastAsia="Aptos"/>
        </w:rPr>
        <w:t>e</w:t>
      </w:r>
      <w:r w:rsidRPr="008F5B5A">
        <w:rPr>
          <w:rFonts w:eastAsia="Aptos"/>
        </w:rPr>
        <w:t xml:space="preserve">ffects of a </w:t>
      </w:r>
      <w:r w:rsidR="00267E1E">
        <w:rPr>
          <w:rFonts w:eastAsia="Aptos"/>
        </w:rPr>
        <w:t>m</w:t>
      </w:r>
      <w:r w:rsidRPr="008F5B5A">
        <w:rPr>
          <w:rFonts w:eastAsia="Aptos"/>
        </w:rPr>
        <w:t xml:space="preserve">ultifaceted </w:t>
      </w:r>
      <w:r w:rsidR="00267E1E">
        <w:rPr>
          <w:rFonts w:eastAsia="Aptos"/>
        </w:rPr>
        <w:t>i</w:t>
      </w:r>
      <w:r w:rsidRPr="008F5B5A">
        <w:rPr>
          <w:rFonts w:eastAsia="Aptos"/>
        </w:rPr>
        <w:t xml:space="preserve">ntervention to </w:t>
      </w:r>
      <w:r w:rsidR="00267E1E">
        <w:rPr>
          <w:rFonts w:eastAsia="Aptos"/>
        </w:rPr>
        <w:t>i</w:t>
      </w:r>
      <w:r w:rsidRPr="008F5B5A">
        <w:rPr>
          <w:rFonts w:eastAsia="Aptos"/>
        </w:rPr>
        <w:t xml:space="preserve">mprove </w:t>
      </w:r>
      <w:r w:rsidR="00267E1E">
        <w:rPr>
          <w:rFonts w:eastAsia="Aptos"/>
        </w:rPr>
        <w:t>c</w:t>
      </w:r>
      <w:r w:rsidRPr="008F5B5A">
        <w:rPr>
          <w:rFonts w:eastAsia="Aptos"/>
        </w:rPr>
        <w:t xml:space="preserve">are </w:t>
      </w:r>
      <w:r w:rsidR="00267E1E">
        <w:rPr>
          <w:rFonts w:eastAsia="Aptos"/>
        </w:rPr>
        <w:t>t</w:t>
      </w:r>
      <w:r w:rsidRPr="008F5B5A">
        <w:rPr>
          <w:rFonts w:eastAsia="Aptos"/>
        </w:rPr>
        <w:t xml:space="preserve">ransitions </w:t>
      </w:r>
      <w:r w:rsidR="00267E1E">
        <w:rPr>
          <w:rFonts w:eastAsia="Aptos"/>
        </w:rPr>
        <w:t>w</w:t>
      </w:r>
      <w:r w:rsidRPr="008F5B5A">
        <w:rPr>
          <w:rFonts w:eastAsia="Aptos"/>
        </w:rPr>
        <w:t xml:space="preserve">ithin an </w:t>
      </w:r>
      <w:r w:rsidR="00267E1E">
        <w:rPr>
          <w:rFonts w:eastAsia="Aptos"/>
        </w:rPr>
        <w:t>a</w:t>
      </w:r>
      <w:r w:rsidRPr="008F5B5A">
        <w:rPr>
          <w:rFonts w:eastAsia="Aptos"/>
        </w:rPr>
        <w:t xml:space="preserve">ccountable </w:t>
      </w:r>
      <w:r w:rsidR="00267E1E">
        <w:rPr>
          <w:rFonts w:eastAsia="Aptos"/>
        </w:rPr>
        <w:t>c</w:t>
      </w:r>
      <w:r w:rsidRPr="008F5B5A">
        <w:rPr>
          <w:rFonts w:eastAsia="Aptos"/>
        </w:rPr>
        <w:t xml:space="preserve">are </w:t>
      </w:r>
      <w:r w:rsidR="00267E1E">
        <w:rPr>
          <w:rFonts w:eastAsia="Aptos"/>
        </w:rPr>
        <w:t>o</w:t>
      </w:r>
      <w:r w:rsidRPr="008F5B5A">
        <w:rPr>
          <w:rFonts w:eastAsia="Aptos"/>
        </w:rPr>
        <w:t xml:space="preserve">rganization: Results of a </w:t>
      </w:r>
      <w:r w:rsidR="00267E1E">
        <w:rPr>
          <w:rFonts w:eastAsia="Aptos"/>
        </w:rPr>
        <w:t>s</w:t>
      </w:r>
      <w:r w:rsidRPr="008F5B5A">
        <w:rPr>
          <w:rFonts w:eastAsia="Aptos"/>
        </w:rPr>
        <w:t xml:space="preserve">tepped-wedge </w:t>
      </w:r>
      <w:r w:rsidR="00267E1E">
        <w:rPr>
          <w:rFonts w:eastAsia="Aptos"/>
        </w:rPr>
        <w:t>cl</w:t>
      </w:r>
      <w:r w:rsidRPr="008F5B5A">
        <w:rPr>
          <w:rFonts w:eastAsia="Aptos"/>
        </w:rPr>
        <w:t xml:space="preserve">uster-randomized </w:t>
      </w:r>
      <w:r w:rsidR="00267E1E">
        <w:rPr>
          <w:rFonts w:eastAsia="Aptos"/>
        </w:rPr>
        <w:t>t</w:t>
      </w:r>
      <w:r w:rsidRPr="008F5B5A">
        <w:rPr>
          <w:rFonts w:eastAsia="Aptos"/>
        </w:rPr>
        <w:t>rial. </w:t>
      </w:r>
      <w:r w:rsidRPr="008F5B5A">
        <w:rPr>
          <w:rFonts w:eastAsia="Aptos"/>
          <w:i/>
          <w:iCs/>
        </w:rPr>
        <w:t xml:space="preserve">Journal of </w:t>
      </w:r>
      <w:r w:rsidR="008B5C3D">
        <w:rPr>
          <w:rFonts w:eastAsia="Aptos"/>
          <w:i/>
          <w:iCs/>
        </w:rPr>
        <w:t>Hospital Medicine</w:t>
      </w:r>
      <w:r w:rsidRPr="008F5B5A">
        <w:rPr>
          <w:rFonts w:eastAsia="Aptos"/>
        </w:rPr>
        <w:t>, </w:t>
      </w:r>
      <w:r w:rsidRPr="008F5B5A">
        <w:rPr>
          <w:rFonts w:eastAsia="Aptos"/>
          <w:i/>
          <w:iCs/>
        </w:rPr>
        <w:t>16</w:t>
      </w:r>
      <w:r w:rsidRPr="008F5B5A">
        <w:rPr>
          <w:rFonts w:eastAsia="Aptos"/>
        </w:rPr>
        <w:t xml:space="preserve">(1), 15–22. </w:t>
      </w:r>
      <w:hyperlink r:id="rId80" w:history="1">
        <w:r w:rsidR="00A97CD0" w:rsidRPr="00CF7158">
          <w:rPr>
            <w:rStyle w:val="Hyperlink"/>
            <w:rFonts w:eastAsia="Aptos"/>
          </w:rPr>
          <w:t>https://doi.org/10.12788/jhm.3513</w:t>
        </w:r>
      </w:hyperlink>
    </w:p>
    <w:p w14:paraId="0569FAEA" w14:textId="11277C2D" w:rsidR="00CF2D19" w:rsidRDefault="00CF2D19" w:rsidP="00CF2D19">
      <w:pPr>
        <w:spacing w:line="480" w:lineRule="auto"/>
        <w:ind w:left="720" w:hanging="720"/>
        <w:contextualSpacing/>
        <w:rPr>
          <w:rFonts w:eastAsia="Aptos"/>
        </w:rPr>
      </w:pPr>
      <w:r w:rsidRPr="008F5B5A">
        <w:rPr>
          <w:rFonts w:eastAsia="Aptos"/>
        </w:rPr>
        <w:t xml:space="preserve">Seher Budak, U., &amp; Defne Ceyhan, G. (2024). Research trends on </w:t>
      </w:r>
      <w:r w:rsidR="00267E1E">
        <w:rPr>
          <w:rFonts w:eastAsia="Aptos"/>
        </w:rPr>
        <w:t>s</w:t>
      </w:r>
      <w:r w:rsidRPr="008F5B5A">
        <w:rPr>
          <w:rFonts w:eastAsia="Aptos"/>
        </w:rPr>
        <w:t xml:space="preserve">ystems </w:t>
      </w:r>
      <w:r w:rsidR="00267E1E">
        <w:rPr>
          <w:rFonts w:eastAsia="Aptos"/>
        </w:rPr>
        <w:t>t</w:t>
      </w:r>
      <w:r w:rsidR="008B5C3D">
        <w:rPr>
          <w:rFonts w:eastAsia="Aptos"/>
        </w:rPr>
        <w:t>hinking</w:t>
      </w:r>
      <w:r w:rsidRPr="008F5B5A">
        <w:rPr>
          <w:rFonts w:eastAsia="Aptos"/>
        </w:rPr>
        <w:t xml:space="preserve"> </w:t>
      </w:r>
      <w:r w:rsidR="00267E1E">
        <w:rPr>
          <w:rFonts w:eastAsia="Aptos"/>
        </w:rPr>
        <w:t>a</w:t>
      </w:r>
      <w:r w:rsidRPr="008F5B5A">
        <w:rPr>
          <w:rFonts w:eastAsia="Aptos"/>
        </w:rPr>
        <w:t xml:space="preserve">pproach in </w:t>
      </w:r>
      <w:r w:rsidR="008B5C3D">
        <w:rPr>
          <w:rFonts w:eastAsia="Aptos"/>
        </w:rPr>
        <w:t>S</w:t>
      </w:r>
      <w:r w:rsidRPr="008F5B5A">
        <w:rPr>
          <w:rFonts w:eastAsia="Aptos"/>
        </w:rPr>
        <w:t xml:space="preserve">cience </w:t>
      </w:r>
      <w:r w:rsidR="008B5C3D">
        <w:rPr>
          <w:rFonts w:eastAsia="Aptos"/>
        </w:rPr>
        <w:t>E</w:t>
      </w:r>
      <w:r w:rsidRPr="008F5B5A">
        <w:rPr>
          <w:rFonts w:eastAsia="Aptos"/>
        </w:rPr>
        <w:t>ducation. </w:t>
      </w:r>
      <w:r w:rsidRPr="008F5B5A">
        <w:rPr>
          <w:rFonts w:eastAsia="Aptos"/>
          <w:i/>
          <w:iCs/>
        </w:rPr>
        <w:t>International Journal of Science Education</w:t>
      </w:r>
      <w:r w:rsidRPr="008F5B5A">
        <w:rPr>
          <w:rFonts w:eastAsia="Aptos"/>
        </w:rPr>
        <w:t>, </w:t>
      </w:r>
      <w:r w:rsidRPr="008F5B5A">
        <w:rPr>
          <w:rFonts w:eastAsia="Aptos"/>
          <w:i/>
          <w:iCs/>
        </w:rPr>
        <w:t>46</w:t>
      </w:r>
      <w:r w:rsidRPr="008F5B5A">
        <w:rPr>
          <w:rFonts w:eastAsia="Aptos"/>
        </w:rPr>
        <w:t>(5), 485</w:t>
      </w:r>
      <w:r w:rsidR="008B5C3D">
        <w:rPr>
          <w:rFonts w:eastAsia="Aptos"/>
        </w:rPr>
        <w:t>–</w:t>
      </w:r>
      <w:r w:rsidRPr="008F5B5A">
        <w:rPr>
          <w:rFonts w:eastAsia="Aptos"/>
        </w:rPr>
        <w:t xml:space="preserve">502. </w:t>
      </w:r>
      <w:hyperlink r:id="rId81" w:history="1">
        <w:r w:rsidR="00A97CD0" w:rsidRPr="00CF7158">
          <w:rPr>
            <w:rStyle w:val="Hyperlink"/>
            <w:rFonts w:eastAsia="Aptos"/>
          </w:rPr>
          <w:t>https://doi.org/10.1080/09500693.2023.2245106</w:t>
        </w:r>
      </w:hyperlink>
      <w:bookmarkEnd w:id="55"/>
    </w:p>
    <w:p w14:paraId="4DCB8387" w14:textId="108C3133" w:rsidR="00CF2D19" w:rsidRDefault="00CF2D19" w:rsidP="00CF2D19">
      <w:pPr>
        <w:spacing w:line="480" w:lineRule="auto"/>
        <w:ind w:left="720" w:hanging="720"/>
        <w:contextualSpacing/>
        <w:rPr>
          <w:rFonts w:eastAsia="Aptos"/>
          <w:lang w:val="es-ES"/>
        </w:rPr>
      </w:pPr>
      <w:bookmarkStart w:id="89" w:name="_Hlk192524954"/>
      <w:bookmarkStart w:id="90" w:name="_Hlk192523455"/>
      <w:bookmarkStart w:id="91" w:name="_Hlk192521727"/>
      <w:r w:rsidRPr="008F5B5A">
        <w:rPr>
          <w:rFonts w:eastAsia="Aptos"/>
        </w:rPr>
        <w:t xml:space="preserve">Selvakumar, D., Sivanandy, P., Ingle, P. V., &amp; Theivasigamani, K. (2023). </w:t>
      </w:r>
      <w:r w:rsidR="008B5C3D">
        <w:rPr>
          <w:rFonts w:eastAsia="Aptos"/>
        </w:rPr>
        <w:t xml:space="preserve">Relationships </w:t>
      </w:r>
      <w:r w:rsidR="00267E1E">
        <w:rPr>
          <w:rFonts w:eastAsia="Aptos"/>
        </w:rPr>
        <w:t>b</w:t>
      </w:r>
      <w:r w:rsidR="008B5C3D">
        <w:rPr>
          <w:rFonts w:eastAsia="Aptos"/>
        </w:rPr>
        <w:t xml:space="preserve">etween </w:t>
      </w:r>
      <w:r w:rsidR="00267E1E">
        <w:rPr>
          <w:rFonts w:eastAsia="Aptos"/>
        </w:rPr>
        <w:t>t</w:t>
      </w:r>
      <w:r w:rsidR="008B5C3D">
        <w:rPr>
          <w:rFonts w:eastAsia="Aptos"/>
        </w:rPr>
        <w:t xml:space="preserve">reatment </w:t>
      </w:r>
      <w:r w:rsidR="00267E1E">
        <w:rPr>
          <w:rFonts w:eastAsia="Aptos"/>
        </w:rPr>
        <w:t>b</w:t>
      </w:r>
      <w:r w:rsidR="008B5C3D">
        <w:rPr>
          <w:rFonts w:eastAsia="Aptos"/>
        </w:rPr>
        <w:t xml:space="preserve">urden, </w:t>
      </w:r>
      <w:r w:rsidR="00267E1E">
        <w:rPr>
          <w:rFonts w:eastAsia="Aptos"/>
        </w:rPr>
        <w:t>h</w:t>
      </w:r>
      <w:r w:rsidR="008B5C3D">
        <w:rPr>
          <w:rFonts w:eastAsia="Aptos"/>
        </w:rPr>
        <w:t xml:space="preserve">ealth </w:t>
      </w:r>
      <w:r w:rsidR="00267E1E">
        <w:rPr>
          <w:rFonts w:eastAsia="Aptos"/>
        </w:rPr>
        <w:t>l</w:t>
      </w:r>
      <w:r w:rsidR="008B5C3D">
        <w:rPr>
          <w:rFonts w:eastAsia="Aptos"/>
        </w:rPr>
        <w:t xml:space="preserve">iteracy, and </w:t>
      </w:r>
      <w:r w:rsidR="00267E1E">
        <w:rPr>
          <w:rFonts w:eastAsia="Aptos"/>
        </w:rPr>
        <w:t>m</w:t>
      </w:r>
      <w:r w:rsidR="008B5C3D">
        <w:rPr>
          <w:rFonts w:eastAsia="Aptos"/>
        </w:rPr>
        <w:t xml:space="preserve">edication </w:t>
      </w:r>
      <w:r w:rsidR="00267E1E">
        <w:rPr>
          <w:rFonts w:eastAsia="Aptos"/>
        </w:rPr>
        <w:t>a</w:t>
      </w:r>
      <w:r w:rsidR="008B5C3D">
        <w:rPr>
          <w:rFonts w:eastAsia="Aptos"/>
        </w:rPr>
        <w:t xml:space="preserve">dherence in </w:t>
      </w:r>
      <w:r w:rsidR="00267E1E">
        <w:rPr>
          <w:rFonts w:eastAsia="Aptos"/>
        </w:rPr>
        <w:t>o</w:t>
      </w:r>
      <w:r w:rsidR="008B5C3D">
        <w:rPr>
          <w:rFonts w:eastAsia="Aptos"/>
        </w:rPr>
        <w:t xml:space="preserve">lder </w:t>
      </w:r>
      <w:r w:rsidR="00267E1E">
        <w:rPr>
          <w:rFonts w:eastAsia="Aptos"/>
        </w:rPr>
        <w:t>a</w:t>
      </w:r>
      <w:r w:rsidR="008B5C3D">
        <w:rPr>
          <w:rFonts w:eastAsia="Aptos"/>
        </w:rPr>
        <w:t xml:space="preserve">dults </w:t>
      </w:r>
      <w:r w:rsidR="00267E1E">
        <w:rPr>
          <w:rFonts w:eastAsia="Aptos"/>
        </w:rPr>
        <w:t>c</w:t>
      </w:r>
      <w:r w:rsidR="008B5C3D">
        <w:rPr>
          <w:rFonts w:eastAsia="Aptos"/>
        </w:rPr>
        <w:t xml:space="preserve">oping with </w:t>
      </w:r>
      <w:r w:rsidR="00267E1E">
        <w:rPr>
          <w:rFonts w:eastAsia="Aptos"/>
        </w:rPr>
        <w:t>m</w:t>
      </w:r>
      <w:r w:rsidR="008B5C3D">
        <w:rPr>
          <w:rFonts w:eastAsia="Aptos"/>
        </w:rPr>
        <w:t xml:space="preserve">ultiple </w:t>
      </w:r>
      <w:r w:rsidR="00267E1E">
        <w:rPr>
          <w:rFonts w:eastAsia="Aptos"/>
        </w:rPr>
        <w:t>c</w:t>
      </w:r>
      <w:r w:rsidR="008B5C3D">
        <w:rPr>
          <w:rFonts w:eastAsia="Aptos"/>
        </w:rPr>
        <w:t xml:space="preserve">hronic </w:t>
      </w:r>
      <w:r w:rsidR="00267E1E">
        <w:rPr>
          <w:rFonts w:eastAsia="Aptos"/>
        </w:rPr>
        <w:t>c</w:t>
      </w:r>
      <w:r w:rsidR="008B5C3D">
        <w:rPr>
          <w:rFonts w:eastAsia="Aptos"/>
        </w:rPr>
        <w:t xml:space="preserve">onditions. </w:t>
      </w:r>
      <w:r w:rsidRPr="008F02C4">
        <w:rPr>
          <w:rFonts w:eastAsia="Aptos"/>
          <w:i/>
          <w:iCs/>
          <w:lang w:val="es-ES"/>
        </w:rPr>
        <w:t>Medicina</w:t>
      </w:r>
      <w:r w:rsidRPr="008F02C4">
        <w:rPr>
          <w:rFonts w:eastAsia="Aptos"/>
          <w:lang w:val="es-ES"/>
        </w:rPr>
        <w:t>, </w:t>
      </w:r>
      <w:r w:rsidRPr="008F02C4">
        <w:rPr>
          <w:rFonts w:eastAsia="Aptos"/>
          <w:i/>
          <w:iCs/>
          <w:lang w:val="es-ES"/>
        </w:rPr>
        <w:t>59</w:t>
      </w:r>
      <w:r w:rsidRPr="008F02C4">
        <w:rPr>
          <w:rFonts w:eastAsia="Aptos"/>
          <w:lang w:val="es-ES"/>
        </w:rPr>
        <w:t xml:space="preserve">(8), 1401. </w:t>
      </w:r>
      <w:hyperlink r:id="rId82" w:history="1">
        <w:r w:rsidR="00A97CD0" w:rsidRPr="00CF7158">
          <w:rPr>
            <w:rStyle w:val="Hyperlink"/>
            <w:rFonts w:eastAsia="Aptos"/>
            <w:lang w:val="es-ES"/>
          </w:rPr>
          <w:t>https://doi.org/10.3390/medicina59081401</w:t>
        </w:r>
      </w:hyperlink>
    </w:p>
    <w:p w14:paraId="1381A571" w14:textId="3356DD56" w:rsidR="00CF2D19" w:rsidRPr="008F5B5A" w:rsidRDefault="00CF2D19" w:rsidP="00CF2D19">
      <w:pPr>
        <w:spacing w:line="480" w:lineRule="auto"/>
        <w:ind w:left="720" w:hanging="720"/>
        <w:contextualSpacing/>
        <w:rPr>
          <w:rFonts w:eastAsia="Aptos"/>
        </w:rPr>
      </w:pPr>
      <w:bookmarkStart w:id="92" w:name="_Hlk192676108"/>
      <w:bookmarkStart w:id="93" w:name="_Hlk192525917"/>
      <w:bookmarkEnd w:id="89"/>
      <w:r w:rsidRPr="008F02C4">
        <w:rPr>
          <w:rFonts w:eastAsia="Aptos"/>
          <w:lang w:val="es-ES"/>
        </w:rPr>
        <w:t xml:space="preserve">Simon, S. T., Kini, V., Levy, A. E., &amp; Ho, P. M. (2021). </w:t>
      </w:r>
      <w:r w:rsidRPr="008F5B5A">
        <w:rPr>
          <w:rFonts w:eastAsia="Aptos"/>
        </w:rPr>
        <w:t xml:space="preserve">Medication </w:t>
      </w:r>
      <w:r w:rsidR="00267E1E">
        <w:rPr>
          <w:rFonts w:eastAsia="Aptos"/>
        </w:rPr>
        <w:t>a</w:t>
      </w:r>
      <w:r w:rsidRPr="008F5B5A">
        <w:rPr>
          <w:rFonts w:eastAsia="Aptos"/>
        </w:rPr>
        <w:t xml:space="preserve">dherence in </w:t>
      </w:r>
      <w:r w:rsidR="00267E1E">
        <w:rPr>
          <w:rFonts w:eastAsia="Aptos"/>
        </w:rPr>
        <w:t>c</w:t>
      </w:r>
      <w:r w:rsidR="008B5C3D">
        <w:rPr>
          <w:rFonts w:eastAsia="Aptos"/>
        </w:rPr>
        <w:t>ardiovascular Medicine</w:t>
      </w:r>
      <w:r w:rsidRPr="008F5B5A">
        <w:rPr>
          <w:rFonts w:eastAsia="Aptos"/>
        </w:rPr>
        <w:t>. </w:t>
      </w:r>
      <w:r w:rsidRPr="008F5B5A">
        <w:rPr>
          <w:rFonts w:eastAsia="Aptos"/>
          <w:i/>
          <w:iCs/>
        </w:rPr>
        <w:t>BMJ</w:t>
      </w:r>
      <w:r w:rsidRPr="008F5B5A">
        <w:rPr>
          <w:rFonts w:eastAsia="Aptos"/>
        </w:rPr>
        <w:t>, </w:t>
      </w:r>
      <w:r w:rsidRPr="008F5B5A">
        <w:rPr>
          <w:rFonts w:eastAsia="Aptos"/>
          <w:i/>
          <w:iCs/>
        </w:rPr>
        <w:t>374</w:t>
      </w:r>
      <w:r w:rsidRPr="008F5B5A">
        <w:rPr>
          <w:rFonts w:eastAsia="Aptos"/>
        </w:rPr>
        <w:t xml:space="preserve">. https://doi.org/10.1136/bmj.n1493 </w:t>
      </w:r>
    </w:p>
    <w:bookmarkEnd w:id="92"/>
    <w:p w14:paraId="6FB499E5" w14:textId="469A1552" w:rsidR="00CF2D19" w:rsidRDefault="00CF2D19" w:rsidP="00CF2D19">
      <w:pPr>
        <w:spacing w:line="480" w:lineRule="auto"/>
        <w:ind w:left="720" w:hanging="720"/>
        <w:contextualSpacing/>
        <w:rPr>
          <w:rFonts w:eastAsia="Aptos"/>
        </w:rPr>
      </w:pPr>
      <w:r w:rsidRPr="008F5B5A">
        <w:rPr>
          <w:rFonts w:eastAsia="Aptos"/>
        </w:rPr>
        <w:lastRenderedPageBreak/>
        <w:t xml:space="preserve">Slavin, S. D., Khera, R., Zafar, S. Y., Nasir, K., &amp; Warraich, H. J. (2021). Financial </w:t>
      </w:r>
      <w:r w:rsidR="00267E1E">
        <w:rPr>
          <w:rFonts w:eastAsia="Aptos"/>
        </w:rPr>
        <w:t>b</w:t>
      </w:r>
      <w:r w:rsidRPr="008F5B5A">
        <w:rPr>
          <w:rFonts w:eastAsia="Aptos"/>
        </w:rPr>
        <w:t xml:space="preserve">urden, </w:t>
      </w:r>
      <w:r w:rsidR="00267E1E">
        <w:rPr>
          <w:rFonts w:eastAsia="Aptos"/>
        </w:rPr>
        <w:t>d</w:t>
      </w:r>
      <w:r w:rsidRPr="008F5B5A">
        <w:rPr>
          <w:rFonts w:eastAsia="Aptos"/>
        </w:rPr>
        <w:t xml:space="preserve">istress, and </w:t>
      </w:r>
      <w:r w:rsidR="00267E1E">
        <w:rPr>
          <w:rFonts w:eastAsia="Aptos"/>
        </w:rPr>
        <w:t>t</w:t>
      </w:r>
      <w:r w:rsidR="0000360A">
        <w:rPr>
          <w:rFonts w:eastAsia="Aptos"/>
        </w:rPr>
        <w:t xml:space="preserve">oxicity in </w:t>
      </w:r>
      <w:r w:rsidR="00267E1E">
        <w:rPr>
          <w:rFonts w:eastAsia="Aptos"/>
        </w:rPr>
        <w:t>c</w:t>
      </w:r>
      <w:r w:rsidR="0000360A">
        <w:rPr>
          <w:rFonts w:eastAsia="Aptos"/>
        </w:rPr>
        <w:t xml:space="preserve">ardiovascular </w:t>
      </w:r>
      <w:r w:rsidR="00267E1E">
        <w:rPr>
          <w:rFonts w:eastAsia="Aptos"/>
        </w:rPr>
        <w:t>d</w:t>
      </w:r>
      <w:r w:rsidR="0000360A">
        <w:rPr>
          <w:rFonts w:eastAsia="Aptos"/>
        </w:rPr>
        <w:t>isease</w:t>
      </w:r>
      <w:r w:rsidRPr="008F5B5A">
        <w:rPr>
          <w:rFonts w:eastAsia="Aptos"/>
        </w:rPr>
        <w:t>. </w:t>
      </w:r>
      <w:r w:rsidRPr="008F5B5A">
        <w:rPr>
          <w:rFonts w:eastAsia="Aptos"/>
          <w:i/>
          <w:iCs/>
        </w:rPr>
        <w:t>American Heart Journal</w:t>
      </w:r>
      <w:r w:rsidRPr="008F5B5A">
        <w:rPr>
          <w:rFonts w:eastAsia="Aptos"/>
        </w:rPr>
        <w:t>, </w:t>
      </w:r>
      <w:r w:rsidRPr="008F5B5A">
        <w:rPr>
          <w:rFonts w:eastAsia="Aptos"/>
          <w:i/>
          <w:iCs/>
        </w:rPr>
        <w:t>238</w:t>
      </w:r>
      <w:r w:rsidRPr="008F5B5A">
        <w:rPr>
          <w:rFonts w:eastAsia="Aptos"/>
        </w:rPr>
        <w:t>, 75</w:t>
      </w:r>
      <w:r w:rsidR="00436F8B">
        <w:rPr>
          <w:rFonts w:eastAsia="Aptos"/>
        </w:rPr>
        <w:t>–</w:t>
      </w:r>
      <w:r w:rsidRPr="008F5B5A">
        <w:rPr>
          <w:rFonts w:eastAsia="Aptos"/>
        </w:rPr>
        <w:t xml:space="preserve">84. </w:t>
      </w:r>
      <w:hyperlink r:id="rId83" w:history="1">
        <w:r w:rsidR="00A97CD0" w:rsidRPr="00CF7158">
          <w:rPr>
            <w:rStyle w:val="Hyperlink"/>
            <w:rFonts w:eastAsia="Aptos"/>
          </w:rPr>
          <w:t>https://doi.org/10.1016/j.ahj.2021.04.011</w:t>
        </w:r>
      </w:hyperlink>
    </w:p>
    <w:p w14:paraId="7E80C8B8" w14:textId="15705367" w:rsidR="00CF2D19" w:rsidRDefault="00CF2D19" w:rsidP="00CF2D19">
      <w:pPr>
        <w:spacing w:line="480" w:lineRule="auto"/>
        <w:ind w:left="720" w:hanging="720"/>
        <w:contextualSpacing/>
        <w:rPr>
          <w:rFonts w:eastAsia="Aptos"/>
        </w:rPr>
      </w:pPr>
      <w:bookmarkStart w:id="94" w:name="_Hlk192678867"/>
      <w:bookmarkEnd w:id="93"/>
      <w:r w:rsidRPr="008F5B5A">
        <w:rPr>
          <w:rFonts w:eastAsia="Aptos"/>
        </w:rPr>
        <w:t xml:space="preserve">Smith, J. D., Merle, J. L., Webster, K. A., Cahue, S., Penedo, F. J., &amp; Garcia, S. F. (2022). Tracking </w:t>
      </w:r>
      <w:r w:rsidR="00267E1E">
        <w:rPr>
          <w:rFonts w:eastAsia="Aptos"/>
        </w:rPr>
        <w:t>d</w:t>
      </w:r>
      <w:r w:rsidRPr="008F5B5A">
        <w:rPr>
          <w:rFonts w:eastAsia="Aptos"/>
        </w:rPr>
        <w:t xml:space="preserve">ynamic </w:t>
      </w:r>
      <w:r w:rsidR="00267E1E">
        <w:rPr>
          <w:rFonts w:eastAsia="Aptos"/>
        </w:rPr>
        <w:t>c</w:t>
      </w:r>
      <w:r w:rsidRPr="008F5B5A">
        <w:rPr>
          <w:rFonts w:eastAsia="Aptos"/>
        </w:rPr>
        <w:t xml:space="preserve">hanges in </w:t>
      </w:r>
      <w:r w:rsidR="00267E1E">
        <w:rPr>
          <w:rFonts w:eastAsia="Aptos"/>
        </w:rPr>
        <w:t>i</w:t>
      </w:r>
      <w:r w:rsidRPr="008F5B5A">
        <w:rPr>
          <w:rFonts w:eastAsia="Aptos"/>
        </w:rPr>
        <w:t xml:space="preserve">mplementation </w:t>
      </w:r>
      <w:r w:rsidR="00267E1E">
        <w:rPr>
          <w:rFonts w:eastAsia="Aptos"/>
        </w:rPr>
        <w:t>s</w:t>
      </w:r>
      <w:r w:rsidRPr="008F5B5A">
        <w:rPr>
          <w:rFonts w:eastAsia="Aptos"/>
        </w:rPr>
        <w:t xml:space="preserve">trategies over </w:t>
      </w:r>
      <w:r w:rsidR="00267E1E">
        <w:rPr>
          <w:rFonts w:eastAsia="Aptos"/>
        </w:rPr>
        <w:t>t</w:t>
      </w:r>
      <w:r w:rsidRPr="008F5B5A">
        <w:rPr>
          <w:rFonts w:eastAsia="Aptos"/>
        </w:rPr>
        <w:t xml:space="preserve">ime within a </w:t>
      </w:r>
      <w:r w:rsidR="00267E1E">
        <w:rPr>
          <w:rFonts w:eastAsia="Aptos"/>
        </w:rPr>
        <w:t>h</w:t>
      </w:r>
      <w:r w:rsidRPr="008F5B5A">
        <w:rPr>
          <w:rFonts w:eastAsia="Aptos"/>
        </w:rPr>
        <w:t xml:space="preserve">ybrid </w:t>
      </w:r>
      <w:r w:rsidR="00267E1E">
        <w:rPr>
          <w:rFonts w:eastAsia="Aptos"/>
        </w:rPr>
        <w:t>t</w:t>
      </w:r>
      <w:r w:rsidRPr="008F5B5A">
        <w:rPr>
          <w:rFonts w:eastAsia="Aptos"/>
        </w:rPr>
        <w:t xml:space="preserve">ype 2 trial of an </w:t>
      </w:r>
      <w:r w:rsidR="00267E1E">
        <w:rPr>
          <w:rFonts w:eastAsia="Aptos"/>
        </w:rPr>
        <w:t>e</w:t>
      </w:r>
      <w:r w:rsidRPr="008F5B5A">
        <w:rPr>
          <w:rFonts w:eastAsia="Aptos"/>
        </w:rPr>
        <w:t xml:space="preserve">lectronic </w:t>
      </w:r>
      <w:r w:rsidR="00267E1E">
        <w:rPr>
          <w:rFonts w:eastAsia="Aptos"/>
        </w:rPr>
        <w:t>p</w:t>
      </w:r>
      <w:r w:rsidRPr="008F5B5A">
        <w:rPr>
          <w:rFonts w:eastAsia="Aptos"/>
        </w:rPr>
        <w:t xml:space="preserve">atient-reported </w:t>
      </w:r>
      <w:r w:rsidR="00267E1E">
        <w:rPr>
          <w:rFonts w:eastAsia="Aptos"/>
        </w:rPr>
        <w:t>o</w:t>
      </w:r>
      <w:r w:rsidRPr="008F5B5A">
        <w:rPr>
          <w:rFonts w:eastAsia="Aptos"/>
        </w:rPr>
        <w:t>ncology</w:t>
      </w:r>
      <w:r w:rsidR="0000360A">
        <w:rPr>
          <w:rFonts w:eastAsia="Aptos"/>
        </w:rPr>
        <w:t xml:space="preserve"> </w:t>
      </w:r>
      <w:r w:rsidR="00267E1E">
        <w:rPr>
          <w:rFonts w:eastAsia="Aptos"/>
        </w:rPr>
        <w:t>s</w:t>
      </w:r>
      <w:r w:rsidRPr="008F5B5A">
        <w:rPr>
          <w:rFonts w:eastAsia="Aptos"/>
        </w:rPr>
        <w:t xml:space="preserve">ymptom and </w:t>
      </w:r>
      <w:r w:rsidR="00267E1E">
        <w:rPr>
          <w:rFonts w:eastAsia="Aptos"/>
        </w:rPr>
        <w:t>n</w:t>
      </w:r>
      <w:r w:rsidR="0000360A">
        <w:rPr>
          <w:rFonts w:eastAsia="Aptos"/>
        </w:rPr>
        <w:t xml:space="preserve">eeds </w:t>
      </w:r>
      <w:r w:rsidR="00267E1E">
        <w:rPr>
          <w:rFonts w:eastAsia="Aptos"/>
        </w:rPr>
        <w:t>m</w:t>
      </w:r>
      <w:r w:rsidR="0000360A">
        <w:rPr>
          <w:rFonts w:eastAsia="Aptos"/>
        </w:rPr>
        <w:t xml:space="preserve">onitoring </w:t>
      </w:r>
      <w:r w:rsidR="00267E1E">
        <w:rPr>
          <w:rFonts w:eastAsia="Aptos"/>
        </w:rPr>
        <w:t>p</w:t>
      </w:r>
      <w:r w:rsidR="0000360A">
        <w:rPr>
          <w:rFonts w:eastAsia="Aptos"/>
        </w:rPr>
        <w:t>rogram</w:t>
      </w:r>
      <w:r w:rsidRPr="008F5B5A">
        <w:rPr>
          <w:rFonts w:eastAsia="Aptos"/>
        </w:rPr>
        <w:t>. </w:t>
      </w:r>
      <w:r w:rsidRPr="008F5B5A">
        <w:rPr>
          <w:rFonts w:eastAsia="Aptos"/>
          <w:i/>
          <w:iCs/>
        </w:rPr>
        <w:t>Frontiers in Health Services</w:t>
      </w:r>
      <w:r w:rsidRPr="008F5B5A">
        <w:rPr>
          <w:rFonts w:eastAsia="Aptos"/>
        </w:rPr>
        <w:t>, </w:t>
      </w:r>
      <w:r w:rsidRPr="008F5B5A">
        <w:rPr>
          <w:rFonts w:eastAsia="Aptos"/>
          <w:i/>
          <w:iCs/>
        </w:rPr>
        <w:t>2</w:t>
      </w:r>
      <w:r w:rsidRPr="008F5B5A">
        <w:rPr>
          <w:rFonts w:eastAsia="Aptos"/>
        </w:rPr>
        <w:t xml:space="preserve">, 983217. </w:t>
      </w:r>
      <w:hyperlink r:id="rId84" w:history="1">
        <w:r w:rsidR="00A97CD0" w:rsidRPr="00CF7158">
          <w:rPr>
            <w:rStyle w:val="Hyperlink"/>
            <w:rFonts w:eastAsia="Aptos"/>
          </w:rPr>
          <w:t>https://doi.org/10.3389/frhs.2022.983217</w:t>
        </w:r>
      </w:hyperlink>
    </w:p>
    <w:p w14:paraId="2DA135A7" w14:textId="1458886D" w:rsidR="00CF2D19" w:rsidRDefault="00CF2D19" w:rsidP="00CF2D19">
      <w:pPr>
        <w:spacing w:line="480" w:lineRule="auto"/>
        <w:ind w:left="720" w:hanging="720"/>
        <w:contextualSpacing/>
        <w:rPr>
          <w:rFonts w:eastAsia="Aptos"/>
          <w:lang w:val="es-ES"/>
        </w:rPr>
      </w:pPr>
      <w:bookmarkStart w:id="95" w:name="_Hlk192679613"/>
      <w:bookmarkEnd w:id="94"/>
      <w:r w:rsidRPr="008F5B5A">
        <w:rPr>
          <w:rFonts w:eastAsia="Aptos"/>
        </w:rPr>
        <w:t xml:space="preserve">Smuck, M., Odonkor, C. A., Wilt, J. K., Schmidt, N., &amp; Swiernik, M. A. (2021). The </w:t>
      </w:r>
      <w:r w:rsidR="00DB2030">
        <w:rPr>
          <w:rFonts w:eastAsia="Aptos"/>
        </w:rPr>
        <w:t>e</w:t>
      </w:r>
      <w:r w:rsidRPr="008F5B5A">
        <w:rPr>
          <w:rFonts w:eastAsia="Aptos"/>
        </w:rPr>
        <w:t xml:space="preserve">merging </w:t>
      </w:r>
      <w:r w:rsidR="00DB2030">
        <w:rPr>
          <w:rFonts w:eastAsia="Aptos"/>
        </w:rPr>
        <w:t>c</w:t>
      </w:r>
      <w:r w:rsidRPr="008F5B5A">
        <w:rPr>
          <w:rFonts w:eastAsia="Aptos"/>
        </w:rPr>
        <w:t xml:space="preserve">linical </w:t>
      </w:r>
      <w:r w:rsidR="00DB2030">
        <w:rPr>
          <w:rFonts w:eastAsia="Aptos"/>
        </w:rPr>
        <w:t>r</w:t>
      </w:r>
      <w:r w:rsidRPr="008F5B5A">
        <w:rPr>
          <w:rFonts w:eastAsia="Aptos"/>
        </w:rPr>
        <w:t xml:space="preserve">ole of </w:t>
      </w:r>
      <w:r w:rsidR="00DB2030">
        <w:rPr>
          <w:rFonts w:eastAsia="Aptos"/>
        </w:rPr>
        <w:t>w</w:t>
      </w:r>
      <w:r w:rsidR="00436F8B">
        <w:rPr>
          <w:rFonts w:eastAsia="Aptos"/>
        </w:rPr>
        <w:t xml:space="preserve">earables: Factors for </w:t>
      </w:r>
      <w:r w:rsidR="00DB2030">
        <w:rPr>
          <w:rFonts w:eastAsia="Aptos"/>
        </w:rPr>
        <w:t>s</w:t>
      </w:r>
      <w:r w:rsidR="00436F8B">
        <w:rPr>
          <w:rFonts w:eastAsia="Aptos"/>
        </w:rPr>
        <w:t xml:space="preserve">uccessful </w:t>
      </w:r>
      <w:r w:rsidR="00DB2030">
        <w:rPr>
          <w:rFonts w:eastAsia="Aptos"/>
        </w:rPr>
        <w:t>i</w:t>
      </w:r>
      <w:r w:rsidR="00436F8B">
        <w:rPr>
          <w:rFonts w:eastAsia="Aptos"/>
        </w:rPr>
        <w:t xml:space="preserve">mplementation in </w:t>
      </w:r>
      <w:r w:rsidR="00DB2030">
        <w:rPr>
          <w:rFonts w:eastAsia="Aptos"/>
        </w:rPr>
        <w:t>h</w:t>
      </w:r>
      <w:r w:rsidR="00436F8B">
        <w:rPr>
          <w:rFonts w:eastAsia="Aptos"/>
        </w:rPr>
        <w:t>ealthcare</w:t>
      </w:r>
      <w:r w:rsidRPr="008F5B5A">
        <w:rPr>
          <w:rFonts w:eastAsia="Aptos"/>
        </w:rPr>
        <w:t>. </w:t>
      </w:r>
      <w:r w:rsidRPr="008F02C4">
        <w:rPr>
          <w:rFonts w:eastAsia="Aptos"/>
          <w:i/>
          <w:iCs/>
          <w:lang w:val="es-ES"/>
        </w:rPr>
        <w:t>NPJ Digital Medicine</w:t>
      </w:r>
      <w:r w:rsidRPr="008F02C4">
        <w:rPr>
          <w:rFonts w:eastAsia="Aptos"/>
          <w:lang w:val="es-ES"/>
        </w:rPr>
        <w:t>, </w:t>
      </w:r>
      <w:r w:rsidRPr="008F02C4">
        <w:rPr>
          <w:rFonts w:eastAsia="Aptos"/>
          <w:i/>
          <w:iCs/>
          <w:lang w:val="es-ES"/>
        </w:rPr>
        <w:t>4</w:t>
      </w:r>
      <w:r w:rsidRPr="008F02C4">
        <w:rPr>
          <w:rFonts w:eastAsia="Aptos"/>
          <w:lang w:val="es-ES"/>
        </w:rPr>
        <w:t xml:space="preserve">(1), 45. </w:t>
      </w:r>
      <w:hyperlink r:id="rId85" w:history="1">
        <w:r w:rsidR="00A97CD0" w:rsidRPr="00CF7158">
          <w:rPr>
            <w:rStyle w:val="Hyperlink"/>
            <w:rFonts w:eastAsia="Aptos"/>
            <w:lang w:val="es-ES"/>
          </w:rPr>
          <w:t>https://doi.org/10.1038/s41746-021-00418-3</w:t>
        </w:r>
      </w:hyperlink>
    </w:p>
    <w:bookmarkEnd w:id="95"/>
    <w:p w14:paraId="1C94166C" w14:textId="5BB97B29" w:rsidR="00CF2D19" w:rsidRDefault="00CF2D19" w:rsidP="00CF2D19">
      <w:pPr>
        <w:spacing w:line="480" w:lineRule="auto"/>
        <w:ind w:left="720" w:hanging="720"/>
        <w:contextualSpacing/>
        <w:rPr>
          <w:rFonts w:eastAsia="Aptos"/>
        </w:rPr>
      </w:pPr>
      <w:r w:rsidRPr="008F02C4">
        <w:rPr>
          <w:rFonts w:eastAsia="Aptos"/>
          <w:lang w:val="es-ES"/>
        </w:rPr>
        <w:t xml:space="preserve">Sriramulu, S. B., Elangovan, A. R., Isaac, M., &amp; Kalyanasundaram, J. R. (2022). </w:t>
      </w:r>
      <w:r w:rsidRPr="008F5B5A">
        <w:rPr>
          <w:rFonts w:eastAsia="Aptos"/>
        </w:rPr>
        <w:t xml:space="preserve">Treatment </w:t>
      </w:r>
      <w:r w:rsidR="00DB2030">
        <w:rPr>
          <w:rFonts w:eastAsia="Aptos"/>
        </w:rPr>
        <w:t>n</w:t>
      </w:r>
      <w:r w:rsidRPr="008F5B5A">
        <w:rPr>
          <w:rFonts w:eastAsia="Aptos"/>
        </w:rPr>
        <w:t>on-adherence</w:t>
      </w:r>
      <w:r w:rsidR="00436F8B">
        <w:rPr>
          <w:rFonts w:eastAsia="Aptos"/>
        </w:rPr>
        <w:t xml:space="preserve"> </w:t>
      </w:r>
      <w:r w:rsidR="00DB2030">
        <w:rPr>
          <w:rFonts w:eastAsia="Aptos"/>
        </w:rPr>
        <w:t>p</w:t>
      </w:r>
      <w:r w:rsidRPr="008F5B5A">
        <w:rPr>
          <w:rFonts w:eastAsia="Aptos"/>
        </w:rPr>
        <w:t xml:space="preserve">attern among </w:t>
      </w:r>
      <w:r w:rsidR="00DB2030">
        <w:rPr>
          <w:rFonts w:eastAsia="Aptos"/>
        </w:rPr>
        <w:t>p</w:t>
      </w:r>
      <w:r w:rsidR="00436F8B">
        <w:rPr>
          <w:rFonts w:eastAsia="Aptos"/>
        </w:rPr>
        <w:t>e</w:t>
      </w:r>
      <w:r w:rsidRPr="008F5B5A">
        <w:rPr>
          <w:rFonts w:eastAsia="Aptos"/>
        </w:rPr>
        <w:t xml:space="preserve">rsons with </w:t>
      </w:r>
      <w:r w:rsidR="00DB2030">
        <w:rPr>
          <w:rFonts w:eastAsia="Aptos"/>
        </w:rPr>
        <w:t>n</w:t>
      </w:r>
      <w:r w:rsidRPr="008F5B5A">
        <w:rPr>
          <w:rFonts w:eastAsia="Aptos"/>
        </w:rPr>
        <w:t xml:space="preserve">europsychiatric </w:t>
      </w:r>
      <w:r w:rsidR="00DB2030">
        <w:rPr>
          <w:rFonts w:eastAsia="Aptos"/>
        </w:rPr>
        <w:t>d</w:t>
      </w:r>
      <w:r w:rsidRPr="008F5B5A">
        <w:rPr>
          <w:rFonts w:eastAsia="Aptos"/>
        </w:rPr>
        <w:t xml:space="preserve">isorders: A </w:t>
      </w:r>
      <w:r w:rsidR="00DB2030">
        <w:rPr>
          <w:rFonts w:eastAsia="Aptos"/>
        </w:rPr>
        <w:t>s</w:t>
      </w:r>
      <w:r w:rsidRPr="008F5B5A">
        <w:rPr>
          <w:rFonts w:eastAsia="Aptos"/>
        </w:rPr>
        <w:t xml:space="preserve">tudy from a </w:t>
      </w:r>
      <w:r w:rsidR="00DB2030">
        <w:rPr>
          <w:rFonts w:eastAsia="Aptos"/>
        </w:rPr>
        <w:t>r</w:t>
      </w:r>
      <w:r w:rsidRPr="008F5B5A">
        <w:rPr>
          <w:rFonts w:eastAsia="Aptos"/>
        </w:rPr>
        <w:t xml:space="preserve">ural </w:t>
      </w:r>
      <w:r w:rsidR="00DB2030">
        <w:rPr>
          <w:rFonts w:eastAsia="Aptos"/>
        </w:rPr>
        <w:t>c</w:t>
      </w:r>
      <w:r w:rsidRPr="008F5B5A">
        <w:rPr>
          <w:rFonts w:eastAsia="Aptos"/>
        </w:rPr>
        <w:t xml:space="preserve">ommunity </w:t>
      </w:r>
      <w:r w:rsidR="00DB2030">
        <w:rPr>
          <w:rFonts w:eastAsia="Aptos"/>
        </w:rPr>
        <w:t>m</w:t>
      </w:r>
      <w:r w:rsidRPr="008F5B5A">
        <w:rPr>
          <w:rFonts w:eastAsia="Aptos"/>
        </w:rPr>
        <w:t xml:space="preserve">ental </w:t>
      </w:r>
      <w:r w:rsidR="00DB2030">
        <w:rPr>
          <w:rFonts w:eastAsia="Aptos"/>
        </w:rPr>
        <w:t>h</w:t>
      </w:r>
      <w:r w:rsidRPr="008F5B5A">
        <w:rPr>
          <w:rFonts w:eastAsia="Aptos"/>
        </w:rPr>
        <w:t xml:space="preserve">ealth </w:t>
      </w:r>
      <w:r w:rsidR="00DB2030">
        <w:rPr>
          <w:rFonts w:eastAsia="Aptos"/>
        </w:rPr>
        <w:t>c</w:t>
      </w:r>
      <w:r w:rsidR="007F569F">
        <w:rPr>
          <w:rFonts w:eastAsia="Aptos"/>
        </w:rPr>
        <w:t>e</w:t>
      </w:r>
      <w:r w:rsidRPr="008F5B5A">
        <w:rPr>
          <w:rFonts w:eastAsia="Aptos"/>
        </w:rPr>
        <w:t>nt</w:t>
      </w:r>
      <w:r w:rsidR="007F569F">
        <w:rPr>
          <w:rFonts w:eastAsia="Aptos"/>
        </w:rPr>
        <w:t>er</w:t>
      </w:r>
      <w:r w:rsidRPr="008F5B5A">
        <w:rPr>
          <w:rFonts w:eastAsia="Aptos"/>
        </w:rPr>
        <w:t xml:space="preserve"> in India. </w:t>
      </w:r>
      <w:r w:rsidRPr="008F5B5A">
        <w:rPr>
          <w:rFonts w:eastAsia="Aptos"/>
          <w:i/>
          <w:iCs/>
        </w:rPr>
        <w:t>International Journal of Social Psychiatry</w:t>
      </w:r>
      <w:r w:rsidRPr="008F5B5A">
        <w:rPr>
          <w:rFonts w:eastAsia="Aptos"/>
        </w:rPr>
        <w:t>, </w:t>
      </w:r>
      <w:r w:rsidRPr="008F5B5A">
        <w:rPr>
          <w:rFonts w:eastAsia="Aptos"/>
          <w:i/>
          <w:iCs/>
        </w:rPr>
        <w:t>68</w:t>
      </w:r>
      <w:r w:rsidRPr="008F5B5A">
        <w:rPr>
          <w:rFonts w:eastAsia="Aptos"/>
        </w:rPr>
        <w:t>(4), 844</w:t>
      </w:r>
      <w:r w:rsidR="000328F6">
        <w:rPr>
          <w:rFonts w:eastAsia="Aptos"/>
        </w:rPr>
        <w:t>–</w:t>
      </w:r>
      <w:r w:rsidRPr="008F5B5A">
        <w:rPr>
          <w:rFonts w:eastAsia="Aptos"/>
        </w:rPr>
        <w:t xml:space="preserve">851. </w:t>
      </w:r>
      <w:hyperlink r:id="rId86" w:history="1">
        <w:r w:rsidR="00A97CD0" w:rsidRPr="00CF7158">
          <w:rPr>
            <w:rStyle w:val="Hyperlink"/>
            <w:rFonts w:eastAsia="Aptos"/>
          </w:rPr>
          <w:t>https://doi.org/10.1177/00207640211008462</w:t>
        </w:r>
      </w:hyperlink>
    </w:p>
    <w:p w14:paraId="782CDD09" w14:textId="4A61360E" w:rsidR="00CF2D19" w:rsidRDefault="00CF2D19" w:rsidP="00CF2D19">
      <w:pPr>
        <w:spacing w:line="480" w:lineRule="auto"/>
        <w:ind w:left="720" w:hanging="720"/>
        <w:contextualSpacing/>
        <w:rPr>
          <w:rFonts w:eastAsia="Aptos"/>
        </w:rPr>
      </w:pPr>
      <w:bookmarkStart w:id="96" w:name="_Hlk192524754"/>
      <w:bookmarkEnd w:id="90"/>
      <w:r w:rsidRPr="008F5B5A">
        <w:rPr>
          <w:rFonts w:eastAsia="Aptos"/>
        </w:rPr>
        <w:t xml:space="preserve">Stewart, S. J. F., Moon, Z., &amp; Horne, R. (2023). Medication </w:t>
      </w:r>
      <w:r w:rsidR="000F6EC2">
        <w:rPr>
          <w:rFonts w:eastAsia="Aptos"/>
        </w:rPr>
        <w:t>n</w:t>
      </w:r>
      <w:r w:rsidRPr="008F5B5A">
        <w:rPr>
          <w:rFonts w:eastAsia="Aptos"/>
        </w:rPr>
        <w:t xml:space="preserve">onadherence: </w:t>
      </w:r>
      <w:r w:rsidR="00443246">
        <w:rPr>
          <w:rFonts w:eastAsia="Aptos"/>
        </w:rPr>
        <w:t>H</w:t>
      </w:r>
      <w:r w:rsidRPr="008F5B5A">
        <w:rPr>
          <w:rFonts w:eastAsia="Aptos"/>
        </w:rPr>
        <w:t xml:space="preserve">ealth </w:t>
      </w:r>
      <w:r w:rsidR="000F6EC2">
        <w:rPr>
          <w:rFonts w:eastAsia="Aptos"/>
        </w:rPr>
        <w:t>i</w:t>
      </w:r>
      <w:r w:rsidRPr="008F5B5A">
        <w:rPr>
          <w:rFonts w:eastAsia="Aptos"/>
        </w:rPr>
        <w:t xml:space="preserve">mpact, </w:t>
      </w:r>
      <w:r w:rsidR="000F6EC2">
        <w:rPr>
          <w:rFonts w:eastAsia="Aptos"/>
        </w:rPr>
        <w:t>pr</w:t>
      </w:r>
      <w:r w:rsidRPr="008F5B5A">
        <w:rPr>
          <w:rFonts w:eastAsia="Aptos"/>
        </w:rPr>
        <w:t xml:space="preserve">evalence, </w:t>
      </w:r>
      <w:r w:rsidR="000F6EC2">
        <w:rPr>
          <w:rFonts w:eastAsia="Aptos"/>
        </w:rPr>
        <w:t>c</w:t>
      </w:r>
      <w:r w:rsidRPr="008F5B5A">
        <w:rPr>
          <w:rFonts w:eastAsia="Aptos"/>
        </w:rPr>
        <w:t xml:space="preserve">orrelates, and </w:t>
      </w:r>
      <w:r w:rsidR="000F6EC2">
        <w:rPr>
          <w:rFonts w:eastAsia="Aptos"/>
        </w:rPr>
        <w:t>i</w:t>
      </w:r>
      <w:r w:rsidRPr="008F5B5A">
        <w:rPr>
          <w:rFonts w:eastAsia="Aptos"/>
        </w:rPr>
        <w:t>nterventions. </w:t>
      </w:r>
      <w:r w:rsidRPr="008F5B5A">
        <w:rPr>
          <w:rFonts w:eastAsia="Aptos"/>
          <w:i/>
          <w:iCs/>
        </w:rPr>
        <w:t>Psychology &amp; health</w:t>
      </w:r>
      <w:r w:rsidRPr="008F5B5A">
        <w:rPr>
          <w:rFonts w:eastAsia="Aptos"/>
        </w:rPr>
        <w:t>, </w:t>
      </w:r>
      <w:r w:rsidRPr="008F5B5A">
        <w:rPr>
          <w:rFonts w:eastAsia="Aptos"/>
          <w:i/>
          <w:iCs/>
        </w:rPr>
        <w:t>38</w:t>
      </w:r>
      <w:r w:rsidRPr="008F5B5A">
        <w:rPr>
          <w:rFonts w:eastAsia="Aptos"/>
        </w:rPr>
        <w:t>(6), 726</w:t>
      </w:r>
      <w:r w:rsidR="007F569F">
        <w:rPr>
          <w:rFonts w:eastAsia="Aptos"/>
        </w:rPr>
        <w:t>–</w:t>
      </w:r>
      <w:r w:rsidRPr="008F5B5A">
        <w:rPr>
          <w:rFonts w:eastAsia="Aptos"/>
        </w:rPr>
        <w:t xml:space="preserve">765. </w:t>
      </w:r>
      <w:hyperlink r:id="rId87" w:history="1">
        <w:r w:rsidR="00A97CD0" w:rsidRPr="00CF7158">
          <w:rPr>
            <w:rStyle w:val="Hyperlink"/>
            <w:rFonts w:eastAsia="Aptos"/>
          </w:rPr>
          <w:t>https://doi.org/10.1080/08870446.2022.2144923</w:t>
        </w:r>
      </w:hyperlink>
    </w:p>
    <w:p w14:paraId="6C289E20" w14:textId="65995E3D" w:rsidR="00CF2D19" w:rsidRDefault="00CF2D19" w:rsidP="00CF2D19">
      <w:pPr>
        <w:spacing w:line="480" w:lineRule="auto"/>
        <w:ind w:left="720" w:hanging="720"/>
        <w:contextualSpacing/>
        <w:rPr>
          <w:rFonts w:eastAsia="Aptos"/>
        </w:rPr>
      </w:pPr>
      <w:bookmarkStart w:id="97" w:name="_Hlk193013847"/>
      <w:bookmarkStart w:id="98" w:name="_Hlk192525637"/>
      <w:bookmarkEnd w:id="96"/>
      <w:r w:rsidRPr="008F5B5A">
        <w:rPr>
          <w:rFonts w:eastAsia="Aptos"/>
        </w:rPr>
        <w:t>Sultana</w:t>
      </w:r>
      <w:bookmarkEnd w:id="97"/>
      <w:r w:rsidRPr="008F5B5A">
        <w:rPr>
          <w:rFonts w:eastAsia="Aptos"/>
        </w:rPr>
        <w:t xml:space="preserve">, N., Huq, F., Razzaque, M. A., &amp; Rahman, M. M. (2022). User </w:t>
      </w:r>
      <w:r w:rsidR="000F6EC2">
        <w:rPr>
          <w:rFonts w:eastAsia="Aptos"/>
        </w:rPr>
        <w:t>u</w:t>
      </w:r>
      <w:r w:rsidRPr="008F5B5A">
        <w:rPr>
          <w:rFonts w:eastAsia="Aptos"/>
        </w:rPr>
        <w:t xml:space="preserve">tility </w:t>
      </w:r>
      <w:r w:rsidR="000F6EC2">
        <w:rPr>
          <w:rFonts w:eastAsia="Aptos"/>
        </w:rPr>
        <w:t>m</w:t>
      </w:r>
      <w:r w:rsidR="00443246">
        <w:rPr>
          <w:rFonts w:eastAsia="Aptos"/>
        </w:rPr>
        <w:t xml:space="preserve">aximization in the </w:t>
      </w:r>
      <w:r w:rsidR="000F6EC2">
        <w:rPr>
          <w:rFonts w:eastAsia="Aptos"/>
        </w:rPr>
        <w:t>n</w:t>
      </w:r>
      <w:r w:rsidR="00443246">
        <w:rPr>
          <w:rFonts w:eastAsia="Aptos"/>
        </w:rPr>
        <w:t xml:space="preserve">arrowband </w:t>
      </w:r>
      <w:r w:rsidR="000F6EC2">
        <w:rPr>
          <w:rFonts w:eastAsia="Aptos"/>
        </w:rPr>
        <w:t>I</w:t>
      </w:r>
      <w:r w:rsidR="00443246">
        <w:rPr>
          <w:rFonts w:eastAsia="Aptos"/>
        </w:rPr>
        <w:t xml:space="preserve">nternet of </w:t>
      </w:r>
      <w:r w:rsidR="000F6EC2">
        <w:rPr>
          <w:rFonts w:eastAsia="Aptos"/>
        </w:rPr>
        <w:t>Things</w:t>
      </w:r>
      <w:r w:rsidR="00443246">
        <w:rPr>
          <w:rFonts w:eastAsia="Aptos"/>
        </w:rPr>
        <w:t xml:space="preserve"> for </w:t>
      </w:r>
      <w:r w:rsidR="000F6EC2">
        <w:rPr>
          <w:rFonts w:eastAsia="Aptos"/>
        </w:rPr>
        <w:t>p</w:t>
      </w:r>
      <w:r w:rsidR="00443246">
        <w:rPr>
          <w:rFonts w:eastAsia="Aptos"/>
        </w:rPr>
        <w:t xml:space="preserve">rioritized </w:t>
      </w:r>
      <w:r w:rsidR="000F6EC2">
        <w:rPr>
          <w:rFonts w:eastAsia="Aptos"/>
        </w:rPr>
        <w:t>h</w:t>
      </w:r>
      <w:r w:rsidR="00443246">
        <w:rPr>
          <w:rFonts w:eastAsia="Aptos"/>
        </w:rPr>
        <w:t xml:space="preserve">ealthcare </w:t>
      </w:r>
      <w:r w:rsidR="000F6EC2">
        <w:rPr>
          <w:rFonts w:eastAsia="Aptos"/>
        </w:rPr>
        <w:t>a</w:t>
      </w:r>
      <w:r w:rsidR="00443246">
        <w:rPr>
          <w:rFonts w:eastAsia="Aptos"/>
        </w:rPr>
        <w:t>pplications</w:t>
      </w:r>
      <w:r w:rsidRPr="008F5B5A">
        <w:rPr>
          <w:rFonts w:eastAsia="Aptos"/>
        </w:rPr>
        <w:t>. </w:t>
      </w:r>
      <w:r w:rsidRPr="008F5B5A">
        <w:rPr>
          <w:rFonts w:eastAsia="Aptos"/>
          <w:i/>
          <w:iCs/>
        </w:rPr>
        <w:t>Sensors</w:t>
      </w:r>
      <w:r w:rsidRPr="008F5B5A">
        <w:rPr>
          <w:rFonts w:eastAsia="Aptos"/>
        </w:rPr>
        <w:t>, </w:t>
      </w:r>
      <w:r w:rsidRPr="008F5B5A">
        <w:rPr>
          <w:rFonts w:eastAsia="Aptos"/>
          <w:i/>
          <w:iCs/>
        </w:rPr>
        <w:t>22</w:t>
      </w:r>
      <w:r w:rsidRPr="008F5B5A">
        <w:rPr>
          <w:rFonts w:eastAsia="Aptos"/>
        </w:rPr>
        <w:t xml:space="preserve">(3), 1192. </w:t>
      </w:r>
      <w:hyperlink r:id="rId88" w:history="1">
        <w:r w:rsidR="00B65661" w:rsidRPr="007A25BB">
          <w:rPr>
            <w:rStyle w:val="Hyperlink"/>
            <w:rFonts w:eastAsia="Aptos"/>
          </w:rPr>
          <w:t>https://doi.org/10.3390/s22031192</w:t>
        </w:r>
      </w:hyperlink>
    </w:p>
    <w:p w14:paraId="42BB0CD9" w14:textId="34CFA82F" w:rsidR="00B65661" w:rsidRDefault="006A66FC" w:rsidP="00CF2D19">
      <w:pPr>
        <w:spacing w:line="480" w:lineRule="auto"/>
        <w:ind w:left="720" w:hanging="720"/>
        <w:contextualSpacing/>
        <w:rPr>
          <w:rFonts w:eastAsia="Aptos"/>
        </w:rPr>
      </w:pPr>
      <w:r>
        <w:rPr>
          <w:rFonts w:eastAsia="Aptos"/>
        </w:rPr>
        <w:lastRenderedPageBreak/>
        <w:t>Systems Thinking Alliance.</w:t>
      </w:r>
      <w:r w:rsidR="003A04DB">
        <w:rPr>
          <w:rFonts w:eastAsia="Aptos"/>
        </w:rPr>
        <w:t xml:space="preserve"> (2024). Tracing the </w:t>
      </w:r>
      <w:r w:rsidR="00773381">
        <w:rPr>
          <w:rFonts w:eastAsia="Aptos"/>
        </w:rPr>
        <w:t>R</w:t>
      </w:r>
      <w:r w:rsidR="003A04DB">
        <w:rPr>
          <w:rFonts w:eastAsia="Aptos"/>
        </w:rPr>
        <w:t xml:space="preserve">oots: </w:t>
      </w:r>
      <w:r w:rsidR="00773381">
        <w:rPr>
          <w:rFonts w:eastAsia="Aptos"/>
        </w:rPr>
        <w:t xml:space="preserve">A </w:t>
      </w:r>
      <w:r w:rsidR="000F6EC2">
        <w:rPr>
          <w:rFonts w:eastAsia="Aptos"/>
        </w:rPr>
        <w:t>b</w:t>
      </w:r>
      <w:r w:rsidR="003A04DB">
        <w:rPr>
          <w:rFonts w:eastAsia="Aptos"/>
        </w:rPr>
        <w:t xml:space="preserve">rief </w:t>
      </w:r>
      <w:r w:rsidR="000F6EC2">
        <w:rPr>
          <w:rFonts w:eastAsia="Aptos"/>
        </w:rPr>
        <w:t>h</w:t>
      </w:r>
      <w:r w:rsidR="003A04DB">
        <w:rPr>
          <w:rFonts w:eastAsia="Aptos"/>
        </w:rPr>
        <w:t xml:space="preserve">istory of </w:t>
      </w:r>
      <w:r w:rsidR="000F6EC2">
        <w:rPr>
          <w:rFonts w:eastAsia="Aptos"/>
        </w:rPr>
        <w:t>s</w:t>
      </w:r>
      <w:r w:rsidR="003A04DB">
        <w:rPr>
          <w:rFonts w:eastAsia="Aptos"/>
        </w:rPr>
        <w:t>ys</w:t>
      </w:r>
      <w:r w:rsidR="00773381">
        <w:rPr>
          <w:rFonts w:eastAsia="Aptos"/>
        </w:rPr>
        <w:t>t</w:t>
      </w:r>
      <w:r w:rsidR="003A04DB">
        <w:rPr>
          <w:rFonts w:eastAsia="Aptos"/>
        </w:rPr>
        <w:t xml:space="preserve">ems </w:t>
      </w:r>
      <w:r w:rsidR="000F6EC2">
        <w:rPr>
          <w:rFonts w:eastAsia="Aptos"/>
        </w:rPr>
        <w:t>t</w:t>
      </w:r>
      <w:r w:rsidR="003A04DB">
        <w:rPr>
          <w:rFonts w:eastAsia="Aptos"/>
        </w:rPr>
        <w:t>hinking.</w:t>
      </w:r>
      <w:r w:rsidR="00691E96">
        <w:rPr>
          <w:rFonts w:eastAsia="Aptos"/>
        </w:rPr>
        <w:t xml:space="preserve"> Retrieved from: </w:t>
      </w:r>
      <w:hyperlink r:id="rId89" w:history="1">
        <w:r w:rsidR="000328F6" w:rsidRPr="00664C5F">
          <w:rPr>
            <w:rStyle w:val="Hyperlink"/>
            <w:rFonts w:eastAsia="Aptos"/>
          </w:rPr>
          <w:t>https://systemsthinkingalliance.org/brief-history-of-systems-thinking/</w:t>
        </w:r>
      </w:hyperlink>
    </w:p>
    <w:p w14:paraId="4DDF05D6" w14:textId="77777777" w:rsidR="00A97CD0" w:rsidRDefault="00CF2D19" w:rsidP="00CF2D19">
      <w:pPr>
        <w:spacing w:line="480" w:lineRule="auto"/>
        <w:ind w:left="720" w:hanging="720"/>
        <w:contextualSpacing/>
        <w:rPr>
          <w:rFonts w:eastAsia="Aptos"/>
        </w:rPr>
      </w:pPr>
      <w:bookmarkStart w:id="99" w:name="_Hlk192769304"/>
      <w:bookmarkStart w:id="100" w:name="_Hlk192681075"/>
      <w:bookmarkStart w:id="101" w:name="_Hlk192679942"/>
      <w:bookmarkStart w:id="102" w:name="_Hlk192678284"/>
      <w:bookmarkStart w:id="103" w:name="_Hlk192675287"/>
      <w:bookmarkStart w:id="104" w:name="_Hlk192525435"/>
      <w:bookmarkEnd w:id="91"/>
      <w:bookmarkEnd w:id="98"/>
      <w:r w:rsidRPr="008F02C4">
        <w:rPr>
          <w:rFonts w:eastAsia="Aptos"/>
          <w:lang w:val="pt-BR"/>
        </w:rPr>
        <w:t xml:space="preserve">Taha, M. B., Valero-Elizondo, J., Yahya, T., Caraballo, C., Khera, R., Patel, K. V., Ali, H. J. R., Sharma, G., Mossialos, E., Cainzos-Achirica, M., &amp; Nasir, K. (2022). </w:t>
      </w:r>
      <w:r w:rsidRPr="008F5B5A">
        <w:rPr>
          <w:rFonts w:eastAsia="Aptos"/>
        </w:rPr>
        <w:t xml:space="preserve">Cost-related </w:t>
      </w:r>
      <w:r w:rsidR="000F6EC2">
        <w:rPr>
          <w:rFonts w:eastAsia="Aptos"/>
        </w:rPr>
        <w:t>m</w:t>
      </w:r>
      <w:r w:rsidRPr="008F5B5A">
        <w:rPr>
          <w:rFonts w:eastAsia="Aptos"/>
        </w:rPr>
        <w:t xml:space="preserve">edication </w:t>
      </w:r>
      <w:r w:rsidR="000F6EC2">
        <w:rPr>
          <w:rFonts w:eastAsia="Aptos"/>
        </w:rPr>
        <w:t>n</w:t>
      </w:r>
      <w:r w:rsidRPr="008F5B5A">
        <w:rPr>
          <w:rFonts w:eastAsia="Aptos"/>
        </w:rPr>
        <w:t xml:space="preserve">onadherence </w:t>
      </w:r>
      <w:r w:rsidR="00A97CD0">
        <w:rPr>
          <w:rFonts w:eastAsia="Aptos"/>
        </w:rPr>
        <w:t>in adults with diabetes in the United States: The National Health Interview Survey</w:t>
      </w:r>
      <w:r w:rsidRPr="008F5B5A">
        <w:rPr>
          <w:rFonts w:eastAsia="Aptos"/>
        </w:rPr>
        <w:t xml:space="preserve"> 2013-2018. </w:t>
      </w:r>
      <w:r w:rsidRPr="008F5B5A">
        <w:rPr>
          <w:rFonts w:eastAsia="Aptos"/>
          <w:i/>
          <w:iCs/>
        </w:rPr>
        <w:t>Diabetes care</w:t>
      </w:r>
      <w:r w:rsidRPr="008F5B5A">
        <w:rPr>
          <w:rFonts w:eastAsia="Aptos"/>
        </w:rPr>
        <w:t>, </w:t>
      </w:r>
      <w:r w:rsidRPr="008F5B5A">
        <w:rPr>
          <w:rFonts w:eastAsia="Aptos"/>
          <w:i/>
          <w:iCs/>
        </w:rPr>
        <w:t>45</w:t>
      </w:r>
      <w:r w:rsidRPr="008F5B5A">
        <w:rPr>
          <w:rFonts w:eastAsia="Aptos"/>
        </w:rPr>
        <w:t xml:space="preserve">(3), 594–603. </w:t>
      </w:r>
      <w:hyperlink r:id="rId90" w:history="1">
        <w:r w:rsidR="00A97CD0" w:rsidRPr="00CF7158">
          <w:rPr>
            <w:rStyle w:val="Hyperlink"/>
            <w:rFonts w:eastAsia="Aptos"/>
          </w:rPr>
          <w:t>https://doi.org/10.2337/dc21-1757</w:t>
        </w:r>
      </w:hyperlink>
    </w:p>
    <w:p w14:paraId="5B05552A" w14:textId="4FE79B0F" w:rsidR="00CF2D19" w:rsidRDefault="00CF2D19" w:rsidP="00CF2D19">
      <w:pPr>
        <w:spacing w:line="480" w:lineRule="auto"/>
        <w:ind w:left="720" w:hanging="720"/>
        <w:contextualSpacing/>
        <w:rPr>
          <w:rFonts w:eastAsia="Aptos"/>
        </w:rPr>
      </w:pPr>
      <w:r w:rsidRPr="008F5B5A">
        <w:rPr>
          <w:rFonts w:eastAsia="Aptos"/>
        </w:rPr>
        <w:t xml:space="preserve">Thelen, J., Sant Fruchtman, C., Bilal, M., Gabaake, K., Iqbal, S., Keakabetse, T., Kwamie, A., Mokalake, E., Mupara, L. M., Seitio-Kgokgwe, O., Zafar, S., &amp; Cobos Muñoz, D. (2023). Development of the </w:t>
      </w:r>
      <w:r w:rsidR="000F6EC2">
        <w:rPr>
          <w:rFonts w:eastAsia="Aptos"/>
        </w:rPr>
        <w:t>s</w:t>
      </w:r>
      <w:r w:rsidRPr="008F5B5A">
        <w:rPr>
          <w:rFonts w:eastAsia="Aptos"/>
        </w:rPr>
        <w:t xml:space="preserve">ystems </w:t>
      </w:r>
      <w:r w:rsidR="000F6EC2">
        <w:rPr>
          <w:rFonts w:eastAsia="Aptos"/>
        </w:rPr>
        <w:t>t</w:t>
      </w:r>
      <w:r w:rsidR="00443246">
        <w:rPr>
          <w:rFonts w:eastAsia="Aptos"/>
        </w:rPr>
        <w:t>hinking</w:t>
      </w:r>
      <w:r w:rsidRPr="008F5B5A">
        <w:rPr>
          <w:rFonts w:eastAsia="Aptos"/>
        </w:rPr>
        <w:t xml:space="preserve"> for </w:t>
      </w:r>
      <w:r w:rsidR="000F6EC2">
        <w:rPr>
          <w:rFonts w:eastAsia="Aptos"/>
        </w:rPr>
        <w:t>h</w:t>
      </w:r>
      <w:r w:rsidRPr="008F5B5A">
        <w:rPr>
          <w:rFonts w:eastAsia="Aptos"/>
        </w:rPr>
        <w:t xml:space="preserve">ealth </w:t>
      </w:r>
      <w:r w:rsidR="000F6EC2">
        <w:rPr>
          <w:rFonts w:eastAsia="Aptos"/>
        </w:rPr>
        <w:t>a</w:t>
      </w:r>
      <w:r w:rsidRPr="008F5B5A">
        <w:rPr>
          <w:rFonts w:eastAsia="Aptos"/>
        </w:rPr>
        <w:t xml:space="preserve">ctions </w:t>
      </w:r>
      <w:r w:rsidR="000F6EC2">
        <w:rPr>
          <w:rFonts w:eastAsia="Aptos"/>
        </w:rPr>
        <w:t>f</w:t>
      </w:r>
      <w:r w:rsidRPr="008F5B5A">
        <w:rPr>
          <w:rFonts w:eastAsia="Aptos"/>
        </w:rPr>
        <w:t>ramework: A literature review and a case study. </w:t>
      </w:r>
      <w:r w:rsidRPr="008F5B5A">
        <w:rPr>
          <w:rFonts w:eastAsia="Aptos"/>
          <w:i/>
          <w:iCs/>
        </w:rPr>
        <w:t xml:space="preserve">BMJ </w:t>
      </w:r>
      <w:r w:rsidR="00443246">
        <w:rPr>
          <w:rFonts w:eastAsia="Aptos"/>
          <w:i/>
          <w:iCs/>
        </w:rPr>
        <w:t>Global Health</w:t>
      </w:r>
      <w:r w:rsidRPr="008F5B5A">
        <w:rPr>
          <w:rFonts w:eastAsia="Aptos"/>
        </w:rPr>
        <w:t>, </w:t>
      </w:r>
      <w:r w:rsidRPr="008F5B5A">
        <w:rPr>
          <w:rFonts w:eastAsia="Aptos"/>
          <w:i/>
          <w:iCs/>
        </w:rPr>
        <w:t>8</w:t>
      </w:r>
      <w:r w:rsidRPr="008F5B5A">
        <w:rPr>
          <w:rFonts w:eastAsia="Aptos"/>
        </w:rPr>
        <w:t xml:space="preserve">(3), e010191. </w:t>
      </w:r>
      <w:hyperlink r:id="rId91" w:history="1">
        <w:r w:rsidR="00A97CD0" w:rsidRPr="00CF7158">
          <w:rPr>
            <w:rStyle w:val="Hyperlink"/>
            <w:rFonts w:eastAsia="Aptos"/>
          </w:rPr>
          <w:t>https://doi.org/10.1136/bmjgh-2022-010191</w:t>
        </w:r>
      </w:hyperlink>
    </w:p>
    <w:p w14:paraId="76A10E09" w14:textId="4075EAA9" w:rsidR="00CF2D19" w:rsidRDefault="00CF2D19" w:rsidP="00CF2D19">
      <w:pPr>
        <w:spacing w:line="480" w:lineRule="auto"/>
        <w:ind w:left="720" w:hanging="720"/>
        <w:contextualSpacing/>
        <w:rPr>
          <w:rFonts w:eastAsia="Aptos"/>
        </w:rPr>
      </w:pPr>
      <w:r w:rsidRPr="008F5B5A">
        <w:rPr>
          <w:rFonts w:eastAsia="Aptos"/>
        </w:rPr>
        <w:t>Tong, P., &amp; An</w:t>
      </w:r>
      <w:bookmarkEnd w:id="99"/>
      <w:r w:rsidRPr="008F5B5A">
        <w:rPr>
          <w:rFonts w:eastAsia="Aptos"/>
        </w:rPr>
        <w:t>, I. S. (2024). Review of studies applying Bronfenbrenner's bioecological theory in international and intercultural education research. </w:t>
      </w:r>
      <w:r w:rsidRPr="008F5B5A">
        <w:rPr>
          <w:rFonts w:eastAsia="Aptos"/>
          <w:i/>
          <w:iCs/>
        </w:rPr>
        <w:t>Frontiers in Psychology</w:t>
      </w:r>
      <w:r w:rsidRPr="008F5B5A">
        <w:rPr>
          <w:rFonts w:eastAsia="Aptos"/>
        </w:rPr>
        <w:t>, </w:t>
      </w:r>
      <w:r w:rsidRPr="008F5B5A">
        <w:rPr>
          <w:rFonts w:eastAsia="Aptos"/>
          <w:i/>
          <w:iCs/>
        </w:rPr>
        <w:t>14</w:t>
      </w:r>
      <w:r w:rsidRPr="008F5B5A">
        <w:rPr>
          <w:rFonts w:eastAsia="Aptos"/>
        </w:rPr>
        <w:t xml:space="preserve">, 1233925. </w:t>
      </w:r>
      <w:hyperlink r:id="rId92" w:history="1">
        <w:r w:rsidR="00A97CD0" w:rsidRPr="00CF7158">
          <w:rPr>
            <w:rStyle w:val="Hyperlink"/>
            <w:rFonts w:eastAsia="Aptos"/>
          </w:rPr>
          <w:t>https://doi.org/10.3389/fpsyg.2023.1233925</w:t>
        </w:r>
      </w:hyperlink>
    </w:p>
    <w:p w14:paraId="1BA4710C" w14:textId="7ECE9DEE" w:rsidR="00CF2D19" w:rsidRDefault="00CF2D19" w:rsidP="00CF2D19">
      <w:pPr>
        <w:spacing w:line="480" w:lineRule="auto"/>
        <w:ind w:left="720" w:hanging="720"/>
        <w:contextualSpacing/>
        <w:rPr>
          <w:rFonts w:eastAsia="Aptos"/>
        </w:rPr>
      </w:pPr>
      <w:r w:rsidRPr="008F5B5A">
        <w:rPr>
          <w:rFonts w:eastAsia="Aptos"/>
        </w:rPr>
        <w:t xml:space="preserve">Tsang, C. C. S., Wang, J., &amp; Shih, Y. T. (2024). Cost-effectiveness of medication therapy management among </w:t>
      </w:r>
      <w:r w:rsidR="005D11EC">
        <w:rPr>
          <w:rFonts w:eastAsia="Aptos"/>
        </w:rPr>
        <w:t xml:space="preserve">the </w:t>
      </w:r>
      <w:r w:rsidRPr="008F5B5A">
        <w:rPr>
          <w:rFonts w:eastAsia="Aptos"/>
        </w:rPr>
        <w:t>Medicare population and across racial/ethnic groups. </w:t>
      </w:r>
      <w:r w:rsidRPr="008F5B5A">
        <w:rPr>
          <w:rFonts w:eastAsia="Aptos"/>
          <w:i/>
          <w:iCs/>
        </w:rPr>
        <w:t>Medicine</w:t>
      </w:r>
      <w:r w:rsidRPr="008F5B5A">
        <w:rPr>
          <w:rFonts w:eastAsia="Aptos"/>
        </w:rPr>
        <w:t>, </w:t>
      </w:r>
      <w:r w:rsidRPr="008F5B5A">
        <w:rPr>
          <w:rFonts w:eastAsia="Aptos"/>
          <w:i/>
          <w:iCs/>
        </w:rPr>
        <w:t>103</w:t>
      </w:r>
      <w:r w:rsidRPr="008F5B5A">
        <w:rPr>
          <w:rFonts w:eastAsia="Aptos"/>
        </w:rPr>
        <w:t xml:space="preserve">(18), e37935. </w:t>
      </w:r>
      <w:hyperlink r:id="rId93" w:history="1">
        <w:r w:rsidR="00A97CD0" w:rsidRPr="00CF7158">
          <w:rPr>
            <w:rStyle w:val="Hyperlink"/>
            <w:rFonts w:eastAsia="Aptos"/>
          </w:rPr>
          <w:t>https://doi.org/10.1097/MD.0000000000037935</w:t>
        </w:r>
      </w:hyperlink>
    </w:p>
    <w:bookmarkEnd w:id="100"/>
    <w:p w14:paraId="0E91A3EB" w14:textId="48B406CA" w:rsidR="00CF2D19" w:rsidRDefault="00CF2D19" w:rsidP="00CF2D19">
      <w:pPr>
        <w:spacing w:line="480" w:lineRule="auto"/>
        <w:ind w:left="720" w:hanging="720"/>
        <w:contextualSpacing/>
        <w:rPr>
          <w:rFonts w:eastAsia="Aptos"/>
        </w:rPr>
      </w:pPr>
      <w:r w:rsidRPr="008F5B5A">
        <w:rPr>
          <w:rFonts w:eastAsia="Aptos"/>
        </w:rPr>
        <w:t xml:space="preserve">Tu, P., Smith, D., Clark, R., Bayzle, L., Tu, R., &amp; Lin, C. (2021). Patients' characterization of medication, emotions, and incongruent perceptions around </w:t>
      </w:r>
      <w:r w:rsidRPr="008F5B5A">
        <w:rPr>
          <w:rFonts w:eastAsia="Aptos"/>
        </w:rPr>
        <w:lastRenderedPageBreak/>
        <w:t>adherence. </w:t>
      </w:r>
      <w:r w:rsidRPr="008F5B5A">
        <w:rPr>
          <w:rFonts w:eastAsia="Aptos"/>
          <w:i/>
          <w:iCs/>
        </w:rPr>
        <w:t>Journal of Personalized Medicine</w:t>
      </w:r>
      <w:r w:rsidRPr="008F5B5A">
        <w:rPr>
          <w:rFonts w:eastAsia="Aptos"/>
        </w:rPr>
        <w:t>, </w:t>
      </w:r>
      <w:r w:rsidRPr="008F5B5A">
        <w:rPr>
          <w:rFonts w:eastAsia="Aptos"/>
          <w:i/>
          <w:iCs/>
        </w:rPr>
        <w:t>11</w:t>
      </w:r>
      <w:r w:rsidRPr="008F5B5A">
        <w:rPr>
          <w:rFonts w:eastAsia="Aptos"/>
        </w:rPr>
        <w:t xml:space="preserve">(10), 975. </w:t>
      </w:r>
      <w:hyperlink r:id="rId94" w:history="1">
        <w:r w:rsidR="00A97CD0" w:rsidRPr="00CF7158">
          <w:rPr>
            <w:rStyle w:val="Hyperlink"/>
            <w:rFonts w:eastAsia="Aptos"/>
          </w:rPr>
          <w:t>https://doi.org/10.3390/jpm11100975</w:t>
        </w:r>
      </w:hyperlink>
    </w:p>
    <w:p w14:paraId="044A1796" w14:textId="7245793D" w:rsidR="00CF2D19" w:rsidRDefault="00CF2D19" w:rsidP="00CF2D19">
      <w:pPr>
        <w:spacing w:line="480" w:lineRule="auto"/>
        <w:ind w:left="720" w:hanging="720"/>
        <w:contextualSpacing/>
        <w:rPr>
          <w:rFonts w:eastAsia="Aptos"/>
        </w:rPr>
      </w:pPr>
      <w:bookmarkStart w:id="105" w:name="_Hlk193001418"/>
      <w:bookmarkStart w:id="106" w:name="_Hlk192854577"/>
      <w:bookmarkEnd w:id="101"/>
      <w:bookmarkEnd w:id="102"/>
      <w:r w:rsidRPr="008F5B5A">
        <w:rPr>
          <w:rFonts w:eastAsia="Aptos"/>
        </w:rPr>
        <w:t>Vaghasiya, M. R., Penm, J., Kuan, K. K. Y., Gunja, N., Liu, Y., Kim, E. D., Petrina, N., &amp; Poon, S. (2021). Implementation of an electronic medication management system in a large tertiary hospital: a case of qualitative inquiry. </w:t>
      </w:r>
      <w:r w:rsidRPr="008F5B5A">
        <w:rPr>
          <w:rFonts w:eastAsia="Aptos"/>
          <w:i/>
          <w:iCs/>
        </w:rPr>
        <w:t>BMC medical informatics and decision making</w:t>
      </w:r>
      <w:r w:rsidRPr="008F5B5A">
        <w:rPr>
          <w:rFonts w:eastAsia="Aptos"/>
        </w:rPr>
        <w:t>, </w:t>
      </w:r>
      <w:r w:rsidRPr="008F5B5A">
        <w:rPr>
          <w:rFonts w:eastAsia="Aptos"/>
          <w:i/>
          <w:iCs/>
        </w:rPr>
        <w:t>21</w:t>
      </w:r>
      <w:r w:rsidRPr="008F5B5A">
        <w:rPr>
          <w:rFonts w:eastAsia="Aptos"/>
        </w:rPr>
        <w:t xml:space="preserve">(1), 226. </w:t>
      </w:r>
      <w:hyperlink r:id="rId95" w:history="1">
        <w:r w:rsidR="00A97CD0" w:rsidRPr="00CF7158">
          <w:rPr>
            <w:rStyle w:val="Hyperlink"/>
            <w:rFonts w:eastAsia="Aptos"/>
          </w:rPr>
          <w:t>https://doi.org/10.1186/s12911-021-01584-w</w:t>
        </w:r>
      </w:hyperlink>
    </w:p>
    <w:p w14:paraId="29778539" w14:textId="23435ED3" w:rsidR="00CF2D19" w:rsidRDefault="00CF2D19" w:rsidP="00CF2D19">
      <w:pPr>
        <w:spacing w:line="480" w:lineRule="auto"/>
        <w:ind w:left="720" w:hanging="720"/>
        <w:contextualSpacing/>
        <w:rPr>
          <w:rFonts w:eastAsia="Aptos"/>
        </w:rPr>
      </w:pPr>
      <w:r w:rsidRPr="008F02C4">
        <w:rPr>
          <w:rFonts w:eastAsia="Aptos"/>
          <w:lang w:val="es-ES"/>
        </w:rPr>
        <w:t>van Gemert-Pijnen</w:t>
      </w:r>
      <w:bookmarkEnd w:id="105"/>
      <w:r w:rsidRPr="008F02C4">
        <w:rPr>
          <w:rFonts w:eastAsia="Aptos"/>
          <w:lang w:val="es-ES"/>
        </w:rPr>
        <w:t xml:space="preserve">, J. L. (2022). </w:t>
      </w:r>
      <w:r w:rsidRPr="008F5B5A">
        <w:rPr>
          <w:rFonts w:eastAsia="Aptos"/>
        </w:rPr>
        <w:t>Implementation of health technology: Directions for research and practice. </w:t>
      </w:r>
      <w:r w:rsidRPr="008F5B5A">
        <w:rPr>
          <w:rFonts w:eastAsia="Aptos"/>
          <w:i/>
          <w:iCs/>
        </w:rPr>
        <w:t>Frontiers in digital health</w:t>
      </w:r>
      <w:r w:rsidRPr="008F5B5A">
        <w:rPr>
          <w:rFonts w:eastAsia="Aptos"/>
        </w:rPr>
        <w:t>, </w:t>
      </w:r>
      <w:r w:rsidRPr="008F5B5A">
        <w:rPr>
          <w:rFonts w:eastAsia="Aptos"/>
          <w:i/>
          <w:iCs/>
        </w:rPr>
        <w:t>4</w:t>
      </w:r>
      <w:r w:rsidRPr="008F5B5A">
        <w:rPr>
          <w:rFonts w:eastAsia="Aptos"/>
        </w:rPr>
        <w:t xml:space="preserve">, 1030194. </w:t>
      </w:r>
      <w:hyperlink r:id="rId96" w:history="1">
        <w:r w:rsidR="00A97CD0" w:rsidRPr="00CF7158">
          <w:rPr>
            <w:rStyle w:val="Hyperlink"/>
            <w:rFonts w:eastAsia="Aptos"/>
          </w:rPr>
          <w:t>https://doi.org/10.3389/fdgth.2022.1030194</w:t>
        </w:r>
      </w:hyperlink>
    </w:p>
    <w:p w14:paraId="693EAA3B" w14:textId="79DB6E8F" w:rsidR="00CF2D19" w:rsidRDefault="00CF2D19" w:rsidP="00CF2D19">
      <w:pPr>
        <w:spacing w:line="480" w:lineRule="auto"/>
        <w:ind w:left="720" w:hanging="720"/>
        <w:contextualSpacing/>
        <w:rPr>
          <w:rFonts w:eastAsia="Aptos"/>
        </w:rPr>
      </w:pPr>
      <w:bookmarkStart w:id="107" w:name="_Hlk193001606"/>
      <w:r w:rsidRPr="008F5B5A">
        <w:rPr>
          <w:rFonts w:eastAsia="Aptos"/>
        </w:rPr>
        <w:t>Vassolo</w:t>
      </w:r>
      <w:bookmarkEnd w:id="107"/>
      <w:r w:rsidRPr="008F5B5A">
        <w:rPr>
          <w:rFonts w:eastAsia="Aptos"/>
        </w:rPr>
        <w:t>, R. S., Mac Cawley, A. F., Tortorella, G. L., Fogliatto, F. S., Tlapa, D., &amp; Narayanamurthy, G. (2021). Hospital investment decisions in healthcare 4.0 technologies: scoping review and framework for exploring challenges, trends, and research directions. </w:t>
      </w:r>
      <w:r w:rsidRPr="008F5B5A">
        <w:rPr>
          <w:rFonts w:eastAsia="Aptos"/>
          <w:i/>
          <w:iCs/>
        </w:rPr>
        <w:t>Journal of Medical Internet Research</w:t>
      </w:r>
      <w:r w:rsidRPr="008F5B5A">
        <w:rPr>
          <w:rFonts w:eastAsia="Aptos"/>
        </w:rPr>
        <w:t>, </w:t>
      </w:r>
      <w:r w:rsidRPr="008F5B5A">
        <w:rPr>
          <w:rFonts w:eastAsia="Aptos"/>
          <w:i/>
          <w:iCs/>
        </w:rPr>
        <w:t>23</w:t>
      </w:r>
      <w:r w:rsidRPr="008F5B5A">
        <w:rPr>
          <w:rFonts w:eastAsia="Aptos"/>
        </w:rPr>
        <w:t xml:space="preserve">(8), e27571. </w:t>
      </w:r>
      <w:hyperlink r:id="rId97" w:history="1">
        <w:r w:rsidR="00A97CD0" w:rsidRPr="00CF7158">
          <w:rPr>
            <w:rStyle w:val="Hyperlink"/>
            <w:rFonts w:eastAsia="Aptos"/>
          </w:rPr>
          <w:t>https://doi.org/10.2196/27571</w:t>
        </w:r>
      </w:hyperlink>
    </w:p>
    <w:p w14:paraId="24158110" w14:textId="3A7773E7" w:rsidR="00CF2D19" w:rsidRDefault="00CF2D19" w:rsidP="00CF2D19">
      <w:pPr>
        <w:spacing w:line="480" w:lineRule="auto"/>
        <w:ind w:left="720" w:hanging="720"/>
        <w:contextualSpacing/>
        <w:rPr>
          <w:rFonts w:eastAsia="Aptos"/>
        </w:rPr>
      </w:pPr>
      <w:r w:rsidRPr="008F5B5A">
        <w:rPr>
          <w:rFonts w:eastAsia="Aptos"/>
        </w:rPr>
        <w:t>Wedlund, L., &amp; Kvedar, J. (2021). Wearables as a tool for measuring therapeutic adherence in behavioral health. </w:t>
      </w:r>
      <w:r w:rsidRPr="008F5B5A">
        <w:rPr>
          <w:rFonts w:eastAsia="Aptos"/>
          <w:i/>
          <w:iCs/>
        </w:rPr>
        <w:t>NPI Digital Medicine</w:t>
      </w:r>
      <w:r w:rsidRPr="008F5B5A">
        <w:rPr>
          <w:rFonts w:eastAsia="Aptos"/>
        </w:rPr>
        <w:t>, </w:t>
      </w:r>
      <w:r w:rsidRPr="008F5B5A">
        <w:rPr>
          <w:rFonts w:eastAsia="Aptos"/>
          <w:i/>
          <w:iCs/>
        </w:rPr>
        <w:t>4</w:t>
      </w:r>
      <w:r w:rsidRPr="008F5B5A">
        <w:rPr>
          <w:rFonts w:eastAsia="Aptos"/>
        </w:rPr>
        <w:t xml:space="preserve">(1), 79.  </w:t>
      </w:r>
      <w:hyperlink r:id="rId98" w:history="1">
        <w:r w:rsidR="00A97CD0" w:rsidRPr="00CF7158">
          <w:rPr>
            <w:rStyle w:val="Hyperlink"/>
            <w:rFonts w:eastAsia="Aptos"/>
          </w:rPr>
          <w:t>https://doi.org/10.1038/s41746-021-00458-9</w:t>
        </w:r>
      </w:hyperlink>
    </w:p>
    <w:p w14:paraId="6804FE4E" w14:textId="0038F34C" w:rsidR="00CF2D19" w:rsidRDefault="00CF2D19" w:rsidP="00CF2D19">
      <w:pPr>
        <w:spacing w:line="480" w:lineRule="auto"/>
        <w:ind w:left="720" w:hanging="720"/>
        <w:contextualSpacing/>
        <w:rPr>
          <w:rFonts w:eastAsia="Aptos"/>
        </w:rPr>
      </w:pPr>
      <w:bookmarkStart w:id="108" w:name="_Hlk193003682"/>
      <w:r w:rsidRPr="008F5B5A">
        <w:rPr>
          <w:rFonts w:eastAsia="Aptos"/>
        </w:rPr>
        <w:t>Wendl</w:t>
      </w:r>
      <w:bookmarkEnd w:id="106"/>
      <w:bookmarkEnd w:id="108"/>
      <w:r w:rsidRPr="008F5B5A">
        <w:rPr>
          <w:rFonts w:eastAsia="Aptos"/>
        </w:rPr>
        <w:t>, J., Simon, A., Kistler, M., Hapfelmeier, J., Schneider, A., &amp; Hapfelmeier, A. (2023). medication adherence and healthcare costs in chronically ill patients using German claims data. </w:t>
      </w:r>
      <w:r w:rsidRPr="008F5B5A">
        <w:rPr>
          <w:rFonts w:eastAsia="Aptos"/>
          <w:i/>
          <w:iCs/>
        </w:rPr>
        <w:t>Applied Health Economics and Health Policy</w:t>
      </w:r>
      <w:r w:rsidRPr="008F5B5A">
        <w:rPr>
          <w:rFonts w:eastAsia="Aptos"/>
        </w:rPr>
        <w:t>, </w:t>
      </w:r>
      <w:r w:rsidRPr="008F5B5A">
        <w:rPr>
          <w:rFonts w:eastAsia="Aptos"/>
          <w:i/>
          <w:iCs/>
        </w:rPr>
        <w:t>21</w:t>
      </w:r>
      <w:r w:rsidRPr="008F5B5A">
        <w:rPr>
          <w:rFonts w:eastAsia="Aptos"/>
        </w:rPr>
        <w:t xml:space="preserve">(3), 477–487. </w:t>
      </w:r>
      <w:hyperlink r:id="rId99" w:history="1">
        <w:r w:rsidR="00A97CD0" w:rsidRPr="00CF7158">
          <w:rPr>
            <w:rStyle w:val="Hyperlink"/>
            <w:rFonts w:eastAsia="Aptos"/>
          </w:rPr>
          <w:t>https://doi.org/10.1007/s40258-023-00797-6</w:t>
        </w:r>
      </w:hyperlink>
    </w:p>
    <w:p w14:paraId="34C2E235" w14:textId="337A20A8" w:rsidR="00A97CD0" w:rsidRDefault="00CF2D19" w:rsidP="00CF2D19">
      <w:pPr>
        <w:spacing w:line="480" w:lineRule="auto"/>
        <w:ind w:left="720" w:hanging="720"/>
        <w:contextualSpacing/>
        <w:rPr>
          <w:rFonts w:eastAsia="Aptos"/>
        </w:rPr>
      </w:pPr>
      <w:r w:rsidRPr="008F5B5A">
        <w:rPr>
          <w:rFonts w:eastAsia="Aptos"/>
        </w:rPr>
        <w:lastRenderedPageBreak/>
        <w:t>Whiteley, L. B., Olsen, E. M., Haubrick, K. K., Odoom, E., Tarantino, N., &amp; Brown, L. K. (2021). A review of interventions to enhance HIV medication adherence. </w:t>
      </w:r>
      <w:r w:rsidRPr="008F5B5A">
        <w:rPr>
          <w:rFonts w:eastAsia="Aptos"/>
          <w:i/>
          <w:iCs/>
        </w:rPr>
        <w:t>Current HIV/Aids Reports</w:t>
      </w:r>
      <w:r w:rsidRPr="008F5B5A">
        <w:rPr>
          <w:rFonts w:eastAsia="Aptos"/>
        </w:rPr>
        <w:t>, </w:t>
      </w:r>
      <w:r w:rsidRPr="008F5B5A">
        <w:rPr>
          <w:rFonts w:eastAsia="Aptos"/>
          <w:i/>
          <w:iCs/>
        </w:rPr>
        <w:t>18</w:t>
      </w:r>
      <w:r w:rsidRPr="008F5B5A">
        <w:rPr>
          <w:rFonts w:eastAsia="Aptos"/>
        </w:rPr>
        <w:t>(5), 443</w:t>
      </w:r>
      <w:r w:rsidR="00C71BC1">
        <w:rPr>
          <w:rFonts w:eastAsia="Aptos"/>
        </w:rPr>
        <w:t>–</w:t>
      </w:r>
      <w:r w:rsidRPr="008F5B5A">
        <w:rPr>
          <w:rFonts w:eastAsia="Aptos"/>
        </w:rPr>
        <w:t xml:space="preserve">457. </w:t>
      </w:r>
      <w:hyperlink r:id="rId100" w:history="1">
        <w:r w:rsidR="00A97CD0" w:rsidRPr="00CF7158">
          <w:rPr>
            <w:rStyle w:val="Hyperlink"/>
            <w:rFonts w:eastAsia="Aptos"/>
          </w:rPr>
          <w:t>https://doi.org/10.1007/s11904-021-00568-9</w:t>
        </w:r>
      </w:hyperlink>
      <w:bookmarkStart w:id="109" w:name="_Hlk192681186"/>
      <w:bookmarkEnd w:id="103"/>
    </w:p>
    <w:p w14:paraId="7632D146" w14:textId="62F4D517" w:rsidR="00CF2D19" w:rsidRDefault="00CF2D19" w:rsidP="00CF2D19">
      <w:pPr>
        <w:spacing w:line="480" w:lineRule="auto"/>
        <w:ind w:left="720" w:hanging="720"/>
        <w:contextualSpacing/>
        <w:rPr>
          <w:rFonts w:eastAsia="Aptos"/>
        </w:rPr>
      </w:pPr>
      <w:r w:rsidRPr="008F5B5A">
        <w:rPr>
          <w:rFonts w:eastAsia="Aptos"/>
        </w:rPr>
        <w:t>Wilder, M. E., Kulie, P., Jensen, C., Levett, P., Blanchard, J., Dominguez, L. W., Portela, M., Srivastava, A., Li, Y., &amp; McCarthy, M. L. (2021). The impact of social determinants of health on medication adherence: A systematic review and meta-analysis. </w:t>
      </w:r>
      <w:r w:rsidRPr="008F5B5A">
        <w:rPr>
          <w:rFonts w:eastAsia="Aptos"/>
          <w:i/>
          <w:iCs/>
        </w:rPr>
        <w:t>Journal of General Internal Medicine</w:t>
      </w:r>
      <w:r w:rsidRPr="008F5B5A">
        <w:rPr>
          <w:rFonts w:eastAsia="Aptos"/>
        </w:rPr>
        <w:t>, </w:t>
      </w:r>
      <w:r w:rsidRPr="008F5B5A">
        <w:rPr>
          <w:rFonts w:eastAsia="Aptos"/>
          <w:i/>
          <w:iCs/>
        </w:rPr>
        <w:t>36</w:t>
      </w:r>
      <w:r w:rsidRPr="008F5B5A">
        <w:rPr>
          <w:rFonts w:eastAsia="Aptos"/>
        </w:rPr>
        <w:t xml:space="preserve">(5), 1359–1370. </w:t>
      </w:r>
      <w:hyperlink r:id="rId101" w:history="1">
        <w:r w:rsidR="00A97CD0" w:rsidRPr="00CF7158">
          <w:rPr>
            <w:rStyle w:val="Hyperlink"/>
            <w:rFonts w:eastAsia="Aptos"/>
          </w:rPr>
          <w:t>https://doi.org/10.1007/s11606-020-06447-0</w:t>
        </w:r>
      </w:hyperlink>
    </w:p>
    <w:p w14:paraId="169360BF" w14:textId="47ABFCB9" w:rsidR="00CF2D19" w:rsidRDefault="00CF2D19" w:rsidP="00CF2D19">
      <w:pPr>
        <w:spacing w:line="480" w:lineRule="auto"/>
        <w:ind w:left="720" w:hanging="720"/>
        <w:contextualSpacing/>
        <w:rPr>
          <w:rFonts w:eastAsia="Aptos"/>
        </w:rPr>
      </w:pPr>
      <w:bookmarkStart w:id="110" w:name="_Hlk193016218"/>
      <w:r w:rsidRPr="008F5B5A">
        <w:rPr>
          <w:rFonts w:eastAsia="Aptos"/>
        </w:rPr>
        <w:t>Williamson, S. M., &amp; Prybutok</w:t>
      </w:r>
      <w:bookmarkEnd w:id="110"/>
      <w:r w:rsidRPr="008F5B5A">
        <w:rPr>
          <w:rFonts w:eastAsia="Aptos"/>
        </w:rPr>
        <w:t>, V. (2024). Balancing privacy and progress: A review of privacy challenges, systemic oversight, and patient perceptions in AI-driven healthcare. </w:t>
      </w:r>
      <w:r w:rsidRPr="008F5B5A">
        <w:rPr>
          <w:rFonts w:eastAsia="Aptos"/>
          <w:i/>
          <w:iCs/>
        </w:rPr>
        <w:t>Applied Sciences</w:t>
      </w:r>
      <w:r w:rsidRPr="008F5B5A">
        <w:rPr>
          <w:rFonts w:eastAsia="Aptos"/>
        </w:rPr>
        <w:t>, </w:t>
      </w:r>
      <w:r w:rsidRPr="008F5B5A">
        <w:rPr>
          <w:rFonts w:eastAsia="Aptos"/>
          <w:i/>
          <w:iCs/>
        </w:rPr>
        <w:t>14</w:t>
      </w:r>
      <w:r w:rsidRPr="008F5B5A">
        <w:rPr>
          <w:rFonts w:eastAsia="Aptos"/>
        </w:rPr>
        <w:t xml:space="preserve">(2), 675. </w:t>
      </w:r>
      <w:hyperlink r:id="rId102" w:history="1">
        <w:r w:rsidR="00A97CD0" w:rsidRPr="00CF7158">
          <w:rPr>
            <w:rStyle w:val="Hyperlink"/>
            <w:rFonts w:eastAsia="Aptos"/>
          </w:rPr>
          <w:t>https://doi.org/10.3390/app14020675</w:t>
        </w:r>
      </w:hyperlink>
    </w:p>
    <w:bookmarkEnd w:id="109"/>
    <w:p w14:paraId="2EF32BAC" w14:textId="6394A9F5" w:rsidR="00CF2D19" w:rsidRDefault="00CF2D19" w:rsidP="00CF2D19">
      <w:pPr>
        <w:spacing w:line="480" w:lineRule="auto"/>
        <w:ind w:left="720" w:hanging="720"/>
        <w:contextualSpacing/>
        <w:rPr>
          <w:rFonts w:eastAsia="Aptos"/>
        </w:rPr>
      </w:pPr>
      <w:r w:rsidRPr="008F5B5A">
        <w:rPr>
          <w:rFonts w:eastAsia="Aptos"/>
        </w:rPr>
        <w:t>Yoon, S., Kwan, Y. H., Yap, W. L., Lim, Z. Y., Phang, J. K., Loo, Y. X., Aw, J., &amp; Low, L. L. (2023). Factors influencing medication adherence in multi-ethnic Asian patients with chronic diseases in Singapore: A qualitative study. </w:t>
      </w:r>
      <w:r w:rsidRPr="008F5B5A">
        <w:rPr>
          <w:rFonts w:eastAsia="Aptos"/>
          <w:i/>
          <w:iCs/>
        </w:rPr>
        <w:t>Frontiers in Pharmacology</w:t>
      </w:r>
      <w:r w:rsidRPr="008F5B5A">
        <w:rPr>
          <w:rFonts w:eastAsia="Aptos"/>
        </w:rPr>
        <w:t>, </w:t>
      </w:r>
      <w:r w:rsidRPr="008F5B5A">
        <w:rPr>
          <w:rFonts w:eastAsia="Aptos"/>
          <w:i/>
          <w:iCs/>
        </w:rPr>
        <w:t>14</w:t>
      </w:r>
      <w:r w:rsidRPr="008F5B5A">
        <w:rPr>
          <w:rFonts w:eastAsia="Aptos"/>
        </w:rPr>
        <w:t xml:space="preserve">, 1124297. </w:t>
      </w:r>
      <w:hyperlink r:id="rId103" w:history="1">
        <w:r w:rsidR="00E37FB2" w:rsidRPr="007A25BB">
          <w:rPr>
            <w:rStyle w:val="Hyperlink"/>
            <w:rFonts w:eastAsia="Aptos"/>
          </w:rPr>
          <w:t>https://doi.org/10.3389/fphar.2023.1124297</w:t>
        </w:r>
      </w:hyperlink>
    </w:p>
    <w:p w14:paraId="3C64F7F9" w14:textId="22BB0F84" w:rsidR="00E37FB2" w:rsidRDefault="00AC1E89" w:rsidP="00CF2D19">
      <w:pPr>
        <w:spacing w:line="480" w:lineRule="auto"/>
        <w:ind w:left="720" w:hanging="720"/>
        <w:contextualSpacing/>
        <w:rPr>
          <w:rFonts w:eastAsia="Aptos"/>
        </w:rPr>
      </w:pPr>
      <w:r w:rsidRPr="00AC1E89">
        <w:rPr>
          <w:rFonts w:eastAsia="Aptos"/>
        </w:rPr>
        <w:t xml:space="preserve">Zhang, Y., Flory, J. H., &amp; Bao, Y. (2022). Chronic </w:t>
      </w:r>
      <w:r w:rsidR="000F6EC2">
        <w:rPr>
          <w:rFonts w:eastAsia="Aptos"/>
        </w:rPr>
        <w:t>m</w:t>
      </w:r>
      <w:r w:rsidRPr="00AC1E89">
        <w:rPr>
          <w:rFonts w:eastAsia="Aptos"/>
        </w:rPr>
        <w:t xml:space="preserve">edication </w:t>
      </w:r>
      <w:r w:rsidR="000F6EC2">
        <w:rPr>
          <w:rFonts w:eastAsia="Aptos"/>
        </w:rPr>
        <w:t>n</w:t>
      </w:r>
      <w:r w:rsidRPr="00AC1E89">
        <w:rPr>
          <w:rFonts w:eastAsia="Aptos"/>
        </w:rPr>
        <w:t xml:space="preserve">onadherence and </w:t>
      </w:r>
      <w:r w:rsidR="000F6EC2">
        <w:rPr>
          <w:rFonts w:eastAsia="Aptos"/>
        </w:rPr>
        <w:t>p</w:t>
      </w:r>
      <w:r w:rsidRPr="00AC1E89">
        <w:rPr>
          <w:rFonts w:eastAsia="Aptos"/>
        </w:rPr>
        <w:t xml:space="preserve">otentially </w:t>
      </w:r>
      <w:r w:rsidR="000F6EC2">
        <w:rPr>
          <w:rFonts w:eastAsia="Aptos"/>
        </w:rPr>
        <w:t>p</w:t>
      </w:r>
      <w:r w:rsidRPr="00AC1E89">
        <w:rPr>
          <w:rFonts w:eastAsia="Aptos"/>
        </w:rPr>
        <w:t xml:space="preserve">reventable </w:t>
      </w:r>
      <w:r w:rsidR="000F6EC2">
        <w:rPr>
          <w:rFonts w:eastAsia="Aptos"/>
        </w:rPr>
        <w:t>h</w:t>
      </w:r>
      <w:r w:rsidRPr="00AC1E89">
        <w:rPr>
          <w:rFonts w:eastAsia="Aptos"/>
        </w:rPr>
        <w:t xml:space="preserve">ealthcare </w:t>
      </w:r>
      <w:r w:rsidR="000F6EC2">
        <w:rPr>
          <w:rFonts w:eastAsia="Aptos"/>
        </w:rPr>
        <w:t>u</w:t>
      </w:r>
      <w:r w:rsidRPr="00AC1E89">
        <w:rPr>
          <w:rFonts w:eastAsia="Aptos"/>
        </w:rPr>
        <w:t xml:space="preserve">tilization and </w:t>
      </w:r>
      <w:r w:rsidR="000F6EC2">
        <w:rPr>
          <w:rFonts w:eastAsia="Aptos"/>
        </w:rPr>
        <w:t>s</w:t>
      </w:r>
      <w:r w:rsidRPr="00AC1E89">
        <w:rPr>
          <w:rFonts w:eastAsia="Aptos"/>
        </w:rPr>
        <w:t xml:space="preserve">pending </w:t>
      </w:r>
      <w:r w:rsidR="000F6EC2">
        <w:rPr>
          <w:rFonts w:eastAsia="Aptos"/>
        </w:rPr>
        <w:t>a</w:t>
      </w:r>
      <w:r w:rsidRPr="00AC1E89">
        <w:rPr>
          <w:rFonts w:eastAsia="Aptos"/>
        </w:rPr>
        <w:t xml:space="preserve">mong </w:t>
      </w:r>
      <w:r w:rsidR="000F6EC2">
        <w:rPr>
          <w:rFonts w:eastAsia="Aptos"/>
        </w:rPr>
        <w:t>m</w:t>
      </w:r>
      <w:r w:rsidRPr="00AC1E89">
        <w:rPr>
          <w:rFonts w:eastAsia="Aptos"/>
        </w:rPr>
        <w:t xml:space="preserve">edicare </w:t>
      </w:r>
      <w:r w:rsidR="000F6EC2">
        <w:rPr>
          <w:rFonts w:eastAsia="Aptos"/>
        </w:rPr>
        <w:t>p</w:t>
      </w:r>
      <w:r w:rsidRPr="00AC1E89">
        <w:rPr>
          <w:rFonts w:eastAsia="Aptos"/>
        </w:rPr>
        <w:t>atients. </w:t>
      </w:r>
      <w:r w:rsidRPr="00AC1E89">
        <w:rPr>
          <w:rFonts w:eastAsia="Aptos"/>
          <w:i/>
          <w:iCs/>
        </w:rPr>
        <w:t>Journal of general internal medicine</w:t>
      </w:r>
      <w:r w:rsidRPr="00AC1E89">
        <w:rPr>
          <w:rFonts w:eastAsia="Aptos"/>
        </w:rPr>
        <w:t>, </w:t>
      </w:r>
      <w:r w:rsidRPr="00AC1E89">
        <w:rPr>
          <w:rFonts w:eastAsia="Aptos"/>
          <w:i/>
          <w:iCs/>
        </w:rPr>
        <w:t>37</w:t>
      </w:r>
      <w:r w:rsidRPr="00AC1E89">
        <w:rPr>
          <w:rFonts w:eastAsia="Aptos"/>
        </w:rPr>
        <w:t xml:space="preserve">(14), 3645–3652. </w:t>
      </w:r>
      <w:hyperlink r:id="rId104" w:history="1">
        <w:r w:rsidR="00C71BC1" w:rsidRPr="007A25BB">
          <w:rPr>
            <w:rStyle w:val="Hyperlink"/>
            <w:rFonts w:eastAsia="Aptos"/>
          </w:rPr>
          <w:t>https://doi.org/10.1007/s11606-021-07334-y</w:t>
        </w:r>
      </w:hyperlink>
    </w:p>
    <w:p w14:paraId="73916924" w14:textId="7D8384F2" w:rsidR="00A97CD0" w:rsidRDefault="00CF2D19" w:rsidP="009D5926">
      <w:pPr>
        <w:spacing w:line="480" w:lineRule="auto"/>
        <w:ind w:left="720" w:hanging="720"/>
        <w:contextualSpacing/>
        <w:rPr>
          <w:rFonts w:eastAsia="Aptos"/>
        </w:rPr>
      </w:pPr>
      <w:r w:rsidRPr="008F5B5A">
        <w:rPr>
          <w:rFonts w:eastAsia="Aptos"/>
        </w:rPr>
        <w:t xml:space="preserve">Zhang, J., Bhaumik, D., &amp; Meltzer, D. (2022). Decreasing rates of cost-related medication non-adherence by age advancement among American generational </w:t>
      </w:r>
      <w:r w:rsidRPr="008F5B5A">
        <w:rPr>
          <w:rFonts w:eastAsia="Aptos"/>
        </w:rPr>
        <w:lastRenderedPageBreak/>
        <w:t>cohorts 2004–2014: a longitudinal study. </w:t>
      </w:r>
      <w:r w:rsidRPr="008F5B5A">
        <w:rPr>
          <w:rFonts w:eastAsia="Aptos"/>
          <w:i/>
          <w:iCs/>
        </w:rPr>
        <w:t>BMJ Open</w:t>
      </w:r>
      <w:r w:rsidRPr="008F5B5A">
        <w:rPr>
          <w:rFonts w:eastAsia="Aptos"/>
        </w:rPr>
        <w:t>, </w:t>
      </w:r>
      <w:r w:rsidRPr="008F5B5A">
        <w:rPr>
          <w:rFonts w:eastAsia="Aptos"/>
          <w:i/>
          <w:iCs/>
        </w:rPr>
        <w:t>12</w:t>
      </w:r>
      <w:r w:rsidRPr="008F5B5A">
        <w:rPr>
          <w:rFonts w:eastAsia="Aptos"/>
        </w:rPr>
        <w:t xml:space="preserve">(5), e051480. </w:t>
      </w:r>
      <w:hyperlink r:id="rId105" w:history="1">
        <w:r w:rsidR="00A97CD0" w:rsidRPr="00CF7158">
          <w:rPr>
            <w:rStyle w:val="Hyperlink"/>
            <w:rFonts w:eastAsia="Aptos"/>
          </w:rPr>
          <w:t>https://doi.10.1136/bmjopen-2021-051480</w:t>
        </w:r>
      </w:hyperlink>
    </w:p>
    <w:p w14:paraId="1D9A4939" w14:textId="594900C8" w:rsidR="00CF2D19" w:rsidRDefault="00CF2D19" w:rsidP="00CF2D19">
      <w:pPr>
        <w:spacing w:line="480" w:lineRule="auto"/>
        <w:ind w:left="720" w:hanging="720"/>
        <w:contextualSpacing/>
      </w:pPr>
      <w:bookmarkStart w:id="111" w:name="_Hlk192677775"/>
      <w:bookmarkEnd w:id="104"/>
      <w:r w:rsidRPr="008F5B5A">
        <w:rPr>
          <w:rFonts w:eastAsia="Aptos"/>
        </w:rPr>
        <w:t>Zheng, W. Y., Lichtner, V., Van Dort, B. A., &amp; Baysari, M. T. (2021). The impact of introducing automated dispensing cabinets, barcode medication administration, and closed-loop electronic medication management systems on work processes and safety of controlled medications in hospitals: A systematic review. </w:t>
      </w:r>
      <w:r w:rsidRPr="008F5B5A">
        <w:rPr>
          <w:rFonts w:eastAsia="Aptos"/>
          <w:i/>
          <w:iCs/>
        </w:rPr>
        <w:t>Research in Social and Administrative Pharmacy</w:t>
      </w:r>
      <w:r w:rsidRPr="008F5B5A">
        <w:rPr>
          <w:rFonts w:eastAsia="Aptos"/>
        </w:rPr>
        <w:t>, </w:t>
      </w:r>
      <w:r w:rsidRPr="008F5B5A">
        <w:rPr>
          <w:rFonts w:eastAsia="Aptos"/>
          <w:i/>
          <w:iCs/>
        </w:rPr>
        <w:t>17</w:t>
      </w:r>
      <w:r w:rsidRPr="008F5B5A">
        <w:rPr>
          <w:rFonts w:eastAsia="Aptos"/>
        </w:rPr>
        <w:t>(5), 832</w:t>
      </w:r>
      <w:r w:rsidR="00C71BC1">
        <w:rPr>
          <w:rFonts w:eastAsia="Aptos"/>
        </w:rPr>
        <w:t>–</w:t>
      </w:r>
      <w:r w:rsidRPr="008F5B5A">
        <w:rPr>
          <w:rFonts w:eastAsia="Aptos"/>
        </w:rPr>
        <w:t xml:space="preserve">841. </w:t>
      </w:r>
      <w:bookmarkEnd w:id="111"/>
      <w:r w:rsidRPr="008F5B5A">
        <w:fldChar w:fldCharType="begin"/>
      </w:r>
      <w:r w:rsidRPr="008F5B5A">
        <w:instrText>HYPERLINK "https://doi.org/10.1016/j.sapharm.2020.08.001"</w:instrText>
      </w:r>
      <w:r w:rsidRPr="008F5B5A">
        <w:fldChar w:fldCharType="separate"/>
      </w:r>
      <w:r w:rsidRPr="008F5B5A">
        <w:rPr>
          <w:rStyle w:val="Hyperlink"/>
          <w:rFonts w:eastAsia="Aptos"/>
        </w:rPr>
        <w:t>https://doi.org/10.1016/j.sapharm.2020.08.001</w:t>
      </w:r>
      <w:r w:rsidRPr="008F5B5A">
        <w:fldChar w:fldCharType="end"/>
      </w:r>
    </w:p>
    <w:p w14:paraId="36CE0AD3" w14:textId="77777777" w:rsidR="00CF2D19" w:rsidRDefault="00CF2D19" w:rsidP="00FF7036">
      <w:pPr>
        <w:pStyle w:val="ListParagraph"/>
        <w:spacing w:line="480" w:lineRule="auto"/>
        <w:ind w:left="1080"/>
      </w:pPr>
    </w:p>
    <w:p w14:paraId="4C6B9E71" w14:textId="77777777" w:rsidR="00E50475" w:rsidRDefault="00E50475" w:rsidP="000A68CF">
      <w:pPr>
        <w:pStyle w:val="APALevel0"/>
        <w:sectPr w:rsidR="00E50475" w:rsidSect="00C130DF">
          <w:headerReference w:type="default" r:id="rId106"/>
          <w:pgSz w:w="12240" w:h="15840" w:code="1"/>
          <w:pgMar w:top="1872" w:right="1440" w:bottom="1440" w:left="2160" w:header="1440" w:footer="1440" w:gutter="0"/>
          <w:pgNumType w:start="1"/>
          <w:cols w:space="720"/>
          <w:noEndnote/>
          <w:docGrid w:linePitch="360"/>
        </w:sectPr>
      </w:pPr>
      <w:bookmarkStart w:id="112" w:name="_Toc130372406"/>
    </w:p>
    <w:p w14:paraId="19926CAD" w14:textId="4315D5A6" w:rsidR="001E1574" w:rsidRPr="00CF2D19" w:rsidRDefault="000A68CF" w:rsidP="00CF2D19">
      <w:pPr>
        <w:pStyle w:val="APALevel0"/>
      </w:pPr>
      <w:r w:rsidRPr="00CF2D19">
        <w:lastRenderedPageBreak/>
        <w:t xml:space="preserve">Appendix </w:t>
      </w:r>
      <w:r w:rsidR="00445932" w:rsidRPr="00CF2D19">
        <w:t>A</w:t>
      </w:r>
      <w:r w:rsidRPr="00CF2D19">
        <w:t xml:space="preserve">: DHA </w:t>
      </w:r>
      <w:r w:rsidR="00E04160" w:rsidRPr="00CF2D19">
        <w:t xml:space="preserve">Practice-Based Problem </w:t>
      </w:r>
      <w:r w:rsidRPr="00CF2D19">
        <w:t>Literature Review Matrix</w:t>
      </w:r>
      <w:bookmarkEnd w:id="112"/>
    </w:p>
    <w:tbl>
      <w:tblPr>
        <w:tblStyle w:val="GridTable1Light"/>
        <w:tblW w:w="5139" w:type="pct"/>
        <w:jc w:val="center"/>
        <w:tblLook w:val="0020" w:firstRow="1" w:lastRow="0" w:firstColumn="0" w:lastColumn="0" w:noHBand="0" w:noVBand="0"/>
      </w:tblPr>
      <w:tblGrid>
        <w:gridCol w:w="1622"/>
        <w:gridCol w:w="1807"/>
        <w:gridCol w:w="2139"/>
        <w:gridCol w:w="1654"/>
        <w:gridCol w:w="2392"/>
        <w:gridCol w:w="1744"/>
        <w:gridCol w:w="1508"/>
      </w:tblGrid>
      <w:tr w:rsidR="00235CA4" w:rsidRPr="00F579A9" w14:paraId="0DC61829" w14:textId="77777777" w:rsidTr="00CF2D19">
        <w:trPr>
          <w:cnfStyle w:val="100000000000" w:firstRow="1" w:lastRow="0" w:firstColumn="0" w:lastColumn="0" w:oddVBand="0" w:evenVBand="0" w:oddHBand="0" w:evenHBand="0" w:firstRowFirstColumn="0" w:firstRowLastColumn="0" w:lastRowFirstColumn="0" w:lastRowLastColumn="0"/>
          <w:trHeight w:val="400"/>
          <w:tblHeader/>
          <w:jc w:val="center"/>
        </w:trPr>
        <w:tc>
          <w:tcPr>
            <w:tcW w:w="1642" w:type="dxa"/>
            <w:vAlign w:val="bottom"/>
          </w:tcPr>
          <w:p w14:paraId="60DA5648" w14:textId="77777777" w:rsidR="00CF2D19" w:rsidRPr="00F579A9" w:rsidRDefault="00CF2D19" w:rsidP="00CF2D19">
            <w:pPr>
              <w:jc w:val="center"/>
              <w:rPr>
                <w:rFonts w:ascii="Times New Roman" w:hAnsi="Times New Roman" w:cs="Times New Roman"/>
                <w:sz w:val="20"/>
                <w:szCs w:val="20"/>
              </w:rPr>
            </w:pPr>
            <w:r w:rsidRPr="00F579A9">
              <w:rPr>
                <w:rFonts w:ascii="Times New Roman" w:hAnsi="Times New Roman" w:cs="Times New Roman"/>
                <w:sz w:val="20"/>
                <w:szCs w:val="20"/>
              </w:rPr>
              <w:t>Author/ date</w:t>
            </w:r>
          </w:p>
        </w:tc>
        <w:tc>
          <w:tcPr>
            <w:tcW w:w="1868" w:type="dxa"/>
            <w:vAlign w:val="bottom"/>
          </w:tcPr>
          <w:p w14:paraId="332CFCD2" w14:textId="77777777" w:rsidR="00CF2D19" w:rsidRPr="00F579A9" w:rsidRDefault="00CF2D19" w:rsidP="00CF2D19">
            <w:pPr>
              <w:jc w:val="center"/>
              <w:rPr>
                <w:rFonts w:ascii="Times New Roman" w:hAnsi="Times New Roman" w:cs="Times New Roman"/>
                <w:sz w:val="20"/>
                <w:szCs w:val="20"/>
              </w:rPr>
            </w:pPr>
            <w:r w:rsidRPr="00F579A9">
              <w:rPr>
                <w:rFonts w:ascii="Times New Roman" w:hAnsi="Times New Roman" w:cs="Times New Roman"/>
                <w:sz w:val="20"/>
                <w:szCs w:val="20"/>
              </w:rPr>
              <w:t>Theoretical/ conceptual framework</w:t>
            </w:r>
          </w:p>
        </w:tc>
        <w:tc>
          <w:tcPr>
            <w:tcW w:w="1939" w:type="dxa"/>
            <w:vAlign w:val="bottom"/>
          </w:tcPr>
          <w:p w14:paraId="75A455F1" w14:textId="434E937D" w:rsidR="00CF2D19" w:rsidRPr="00F579A9" w:rsidRDefault="00CF2D19" w:rsidP="00CF2D19">
            <w:pPr>
              <w:jc w:val="center"/>
              <w:rPr>
                <w:rFonts w:ascii="Times New Roman" w:hAnsi="Times New Roman" w:cs="Times New Roman"/>
                <w:sz w:val="20"/>
                <w:szCs w:val="20"/>
              </w:rPr>
            </w:pPr>
            <w:r w:rsidRPr="00F579A9">
              <w:rPr>
                <w:rFonts w:ascii="Times New Roman" w:hAnsi="Times New Roman" w:cs="Times New Roman"/>
                <w:sz w:val="20"/>
                <w:szCs w:val="20"/>
              </w:rPr>
              <w:t>Research question(s)/hypotheses</w:t>
            </w:r>
          </w:p>
        </w:tc>
        <w:tc>
          <w:tcPr>
            <w:tcW w:w="1674" w:type="dxa"/>
            <w:vAlign w:val="bottom"/>
          </w:tcPr>
          <w:p w14:paraId="3C82062C" w14:textId="77777777" w:rsidR="00CF2D19" w:rsidRPr="00F579A9" w:rsidRDefault="00CF2D19" w:rsidP="00CF2D19">
            <w:pPr>
              <w:ind w:right="-108"/>
              <w:jc w:val="center"/>
              <w:rPr>
                <w:rFonts w:ascii="Times New Roman" w:hAnsi="Times New Roman" w:cs="Times New Roman"/>
                <w:sz w:val="20"/>
                <w:szCs w:val="20"/>
              </w:rPr>
            </w:pPr>
            <w:r w:rsidRPr="00F579A9">
              <w:rPr>
                <w:rFonts w:ascii="Times New Roman" w:hAnsi="Times New Roman" w:cs="Times New Roman"/>
                <w:sz w:val="20"/>
                <w:szCs w:val="20"/>
              </w:rPr>
              <w:t>Methodology</w:t>
            </w:r>
          </w:p>
        </w:tc>
        <w:tc>
          <w:tcPr>
            <w:tcW w:w="2422" w:type="dxa"/>
            <w:vAlign w:val="bottom"/>
          </w:tcPr>
          <w:p w14:paraId="63339721" w14:textId="77777777" w:rsidR="00CF2D19" w:rsidRPr="00F579A9" w:rsidRDefault="00CF2D19" w:rsidP="00CF2D19">
            <w:pPr>
              <w:jc w:val="center"/>
              <w:rPr>
                <w:rFonts w:ascii="Times New Roman" w:hAnsi="Times New Roman" w:cs="Times New Roman"/>
                <w:sz w:val="20"/>
                <w:szCs w:val="20"/>
              </w:rPr>
            </w:pPr>
            <w:r w:rsidRPr="00F579A9">
              <w:rPr>
                <w:rFonts w:ascii="Times New Roman" w:hAnsi="Times New Roman" w:cs="Times New Roman"/>
                <w:sz w:val="20"/>
                <w:szCs w:val="20"/>
              </w:rPr>
              <w:t>Analysis &amp; results</w:t>
            </w:r>
          </w:p>
        </w:tc>
        <w:tc>
          <w:tcPr>
            <w:tcW w:w="1765" w:type="dxa"/>
            <w:vAlign w:val="bottom"/>
          </w:tcPr>
          <w:p w14:paraId="4D39C253" w14:textId="77777777" w:rsidR="00CF2D19" w:rsidRPr="00F579A9" w:rsidRDefault="00CF2D19" w:rsidP="00CF2D19">
            <w:pPr>
              <w:jc w:val="center"/>
              <w:rPr>
                <w:rFonts w:ascii="Times New Roman" w:hAnsi="Times New Roman" w:cs="Times New Roman"/>
                <w:sz w:val="20"/>
                <w:szCs w:val="20"/>
              </w:rPr>
            </w:pPr>
            <w:r w:rsidRPr="00F579A9">
              <w:rPr>
                <w:rFonts w:ascii="Times New Roman" w:hAnsi="Times New Roman" w:cs="Times New Roman"/>
                <w:sz w:val="20"/>
                <w:szCs w:val="20"/>
              </w:rPr>
              <w:t>Conclusions</w:t>
            </w:r>
          </w:p>
        </w:tc>
        <w:tc>
          <w:tcPr>
            <w:tcW w:w="1555" w:type="dxa"/>
            <w:vAlign w:val="bottom"/>
          </w:tcPr>
          <w:p w14:paraId="3B60DB33" w14:textId="7E7028D9" w:rsidR="00CF2D19" w:rsidRPr="00F579A9" w:rsidRDefault="00CF2D19" w:rsidP="00CF2D19">
            <w:pPr>
              <w:jc w:val="center"/>
              <w:rPr>
                <w:rFonts w:ascii="Times New Roman" w:hAnsi="Times New Roman" w:cs="Times New Roman"/>
                <w:sz w:val="20"/>
                <w:szCs w:val="20"/>
              </w:rPr>
            </w:pPr>
            <w:r w:rsidRPr="00F579A9">
              <w:rPr>
                <w:rFonts w:ascii="Times New Roman" w:hAnsi="Times New Roman" w:cs="Times New Roman"/>
                <w:sz w:val="20"/>
                <w:szCs w:val="20"/>
              </w:rPr>
              <w:t>Empirical research?</w:t>
            </w:r>
            <w:r>
              <w:rPr>
                <w:rFonts w:ascii="Times New Roman" w:hAnsi="Times New Roman" w:cs="Times New Roman"/>
                <w:sz w:val="20"/>
                <w:szCs w:val="20"/>
              </w:rPr>
              <w:br/>
            </w:r>
            <w:r w:rsidRPr="00F579A9">
              <w:rPr>
                <w:rFonts w:ascii="Times New Roman" w:hAnsi="Times New Roman" w:cs="Times New Roman"/>
                <w:sz w:val="20"/>
                <w:szCs w:val="20"/>
              </w:rPr>
              <w:t>(Yes or No)</w:t>
            </w:r>
          </w:p>
        </w:tc>
      </w:tr>
      <w:tr w:rsidR="00235CA4" w:rsidRPr="00F579A9" w14:paraId="702194BB" w14:textId="77777777" w:rsidTr="00CF2D19">
        <w:trPr>
          <w:trHeight w:val="400"/>
          <w:jc w:val="center"/>
        </w:trPr>
        <w:tc>
          <w:tcPr>
            <w:tcW w:w="1642" w:type="dxa"/>
          </w:tcPr>
          <w:p w14:paraId="03998E34"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Al-Arkee, S., Mason, J., Lane, D. A., Fabritz, L., Chua, W., Haque, M. S., &amp; Jalal, Z. (2021).</w:t>
            </w:r>
          </w:p>
        </w:tc>
        <w:tc>
          <w:tcPr>
            <w:tcW w:w="1868" w:type="dxa"/>
          </w:tcPr>
          <w:p w14:paraId="34F101EF" w14:textId="78EFB850" w:rsidR="00CF2D19" w:rsidRPr="00F579A9" w:rsidRDefault="00F105AA" w:rsidP="00CF2D19">
            <w:pPr>
              <w:spacing w:after="200"/>
              <w:ind w:hanging="2"/>
              <w:rPr>
                <w:rFonts w:ascii="Times New Roman" w:hAnsi="Times New Roman" w:cs="Times New Roman"/>
                <w:sz w:val="20"/>
                <w:szCs w:val="20"/>
              </w:rPr>
            </w:pPr>
            <w:r>
              <w:rPr>
                <w:rFonts w:ascii="Times New Roman" w:hAnsi="Times New Roman" w:cs="Times New Roman"/>
                <w:sz w:val="20"/>
                <w:szCs w:val="20"/>
              </w:rPr>
              <w:t>Theoretical</w:t>
            </w:r>
          </w:p>
        </w:tc>
        <w:tc>
          <w:tcPr>
            <w:tcW w:w="1939" w:type="dxa"/>
          </w:tcPr>
          <w:p w14:paraId="1CE40BA3" w14:textId="77777777" w:rsidR="00CF2D19" w:rsidRPr="00F579A9" w:rsidRDefault="00CF2D19" w:rsidP="00CF2D19">
            <w:pPr>
              <w:pStyle w:val="NormalWeb"/>
              <w:spacing w:before="0" w:beforeAutospacing="0" w:after="200" w:afterAutospacing="0"/>
              <w:rPr>
                <w:rFonts w:ascii="Times New Roman" w:hAnsi="Times New Roman" w:cs="Times New Roman"/>
                <w:sz w:val="20"/>
                <w:szCs w:val="20"/>
              </w:rPr>
            </w:pPr>
            <w:r w:rsidRPr="00F579A9">
              <w:rPr>
                <w:rFonts w:ascii="Times New Roman" w:hAnsi="Times New Roman" w:cs="Times New Roman"/>
                <w:sz w:val="20"/>
                <w:szCs w:val="20"/>
              </w:rPr>
              <w:t>The objective of this study is to assess the effects of mobile health care apps on medication adherence and health-related outcomes in patients with CVD</w:t>
            </w:r>
          </w:p>
          <w:p w14:paraId="3CF0FF8E" w14:textId="77777777" w:rsidR="00CF2D19" w:rsidRPr="00F579A9" w:rsidRDefault="00CF2D19" w:rsidP="00CF2D19">
            <w:pPr>
              <w:spacing w:after="200"/>
              <w:ind w:hanging="2"/>
              <w:rPr>
                <w:rFonts w:ascii="Times New Roman" w:hAnsi="Times New Roman" w:cs="Times New Roman"/>
                <w:sz w:val="20"/>
                <w:szCs w:val="20"/>
              </w:rPr>
            </w:pPr>
          </w:p>
        </w:tc>
        <w:tc>
          <w:tcPr>
            <w:tcW w:w="1674" w:type="dxa"/>
          </w:tcPr>
          <w:p w14:paraId="0488CCD2" w14:textId="77777777" w:rsidR="00CF2D19" w:rsidRPr="00F579A9" w:rsidRDefault="00CF2D19" w:rsidP="00CF2D19">
            <w:pPr>
              <w:spacing w:after="200"/>
              <w:ind w:right="-108" w:hanging="2"/>
              <w:rPr>
                <w:rFonts w:ascii="Times New Roman" w:hAnsi="Times New Roman" w:cs="Times New Roman"/>
                <w:sz w:val="20"/>
                <w:szCs w:val="20"/>
              </w:rPr>
            </w:pPr>
            <w:r w:rsidRPr="00F579A9">
              <w:rPr>
                <w:rFonts w:ascii="Times New Roman" w:hAnsi="Times New Roman" w:cs="Times New Roman"/>
                <w:sz w:val="20"/>
                <w:szCs w:val="20"/>
              </w:rPr>
              <w:t>Quantitative Meta-analysis</w:t>
            </w:r>
          </w:p>
        </w:tc>
        <w:tc>
          <w:tcPr>
            <w:tcW w:w="2422" w:type="dxa"/>
          </w:tcPr>
          <w:p w14:paraId="4B5C9336" w14:textId="3D5324E9" w:rsidR="00CF2D19" w:rsidRPr="00F579A9" w:rsidRDefault="00CF2D19" w:rsidP="00CF2D19">
            <w:pPr>
              <w:spacing w:after="200"/>
              <w:rPr>
                <w:rFonts w:ascii="Times New Roman" w:hAnsi="Times New Roman" w:cs="Times New Roman"/>
                <w:sz w:val="20"/>
                <w:szCs w:val="20"/>
              </w:rPr>
            </w:pPr>
            <w:r w:rsidRPr="00F579A9">
              <w:rPr>
                <w:rFonts w:ascii="Times New Roman" w:hAnsi="Times New Roman" w:cs="Times New Roman"/>
                <w:sz w:val="20"/>
                <w:szCs w:val="20"/>
              </w:rPr>
              <w:t>The Cochrane risk of bias tool was used to assess 16 randomized controlled trials (RCTs), and a meta-analysis was performed for clinical outcomes, identifying 12 RCTs that reported medication adherence.</w:t>
            </w:r>
          </w:p>
        </w:tc>
        <w:tc>
          <w:tcPr>
            <w:tcW w:w="1765" w:type="dxa"/>
          </w:tcPr>
          <w:p w14:paraId="39885071" w14:textId="77777777" w:rsidR="00CF2D19" w:rsidRPr="00F579A9" w:rsidRDefault="00CF2D19" w:rsidP="00CF2D19">
            <w:pPr>
              <w:pStyle w:val="NormalWeb"/>
              <w:spacing w:before="0" w:beforeAutospacing="0" w:after="200" w:afterAutospacing="0"/>
              <w:rPr>
                <w:rFonts w:ascii="Times New Roman" w:hAnsi="Times New Roman" w:cs="Times New Roman"/>
                <w:sz w:val="20"/>
                <w:szCs w:val="20"/>
              </w:rPr>
            </w:pPr>
            <w:r w:rsidRPr="00F579A9">
              <w:rPr>
                <w:rFonts w:ascii="Times New Roman" w:hAnsi="Times New Roman" w:cs="Times New Roman"/>
                <w:sz w:val="20"/>
                <w:szCs w:val="20"/>
              </w:rPr>
              <w:t>Apps tended to increase medication adherence, but interventions varied widely in design, content, and delivery.</w:t>
            </w:r>
          </w:p>
          <w:p w14:paraId="5C0D1F6F" w14:textId="77777777" w:rsidR="00CF2D19" w:rsidRPr="00F579A9" w:rsidRDefault="00CF2D19" w:rsidP="00CF2D19">
            <w:pPr>
              <w:spacing w:after="200"/>
              <w:ind w:hanging="2"/>
              <w:rPr>
                <w:rFonts w:ascii="Times New Roman" w:hAnsi="Times New Roman" w:cs="Times New Roman"/>
                <w:sz w:val="20"/>
                <w:szCs w:val="20"/>
              </w:rPr>
            </w:pPr>
          </w:p>
        </w:tc>
        <w:tc>
          <w:tcPr>
            <w:tcW w:w="1555" w:type="dxa"/>
          </w:tcPr>
          <w:p w14:paraId="7E7BD830"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No</w:t>
            </w:r>
          </w:p>
        </w:tc>
      </w:tr>
      <w:tr w:rsidR="00235CA4" w:rsidRPr="00F579A9" w14:paraId="792C4418" w14:textId="77777777" w:rsidTr="00CF2D19">
        <w:trPr>
          <w:trHeight w:val="400"/>
          <w:jc w:val="center"/>
        </w:trPr>
        <w:tc>
          <w:tcPr>
            <w:tcW w:w="1642" w:type="dxa"/>
          </w:tcPr>
          <w:p w14:paraId="5353CE55" w14:textId="77777777" w:rsidR="00CF2D19" w:rsidRPr="00F579A9" w:rsidRDefault="00CF2D19" w:rsidP="00CF2D19">
            <w:pPr>
              <w:spacing w:after="200"/>
              <w:rPr>
                <w:rFonts w:ascii="Times New Roman" w:hAnsi="Times New Roman" w:cs="Times New Roman"/>
                <w:sz w:val="20"/>
                <w:szCs w:val="20"/>
              </w:rPr>
            </w:pPr>
            <w:r w:rsidRPr="00F579A9">
              <w:rPr>
                <w:rFonts w:ascii="Times New Roman" w:hAnsi="Times New Roman" w:cs="Times New Roman"/>
                <w:sz w:val="20"/>
                <w:szCs w:val="20"/>
              </w:rPr>
              <w:t>Al Meslamani, A. Z. (2024).</w:t>
            </w:r>
          </w:p>
          <w:p w14:paraId="726BD723" w14:textId="77777777" w:rsidR="00CF2D19" w:rsidRPr="00F579A9" w:rsidRDefault="00CF2D19" w:rsidP="00CF2D19">
            <w:pPr>
              <w:spacing w:after="200"/>
              <w:ind w:hanging="2"/>
              <w:rPr>
                <w:rFonts w:ascii="Times New Roman" w:hAnsi="Times New Roman" w:cs="Times New Roman"/>
                <w:sz w:val="20"/>
                <w:szCs w:val="20"/>
              </w:rPr>
            </w:pPr>
          </w:p>
        </w:tc>
        <w:tc>
          <w:tcPr>
            <w:tcW w:w="1868" w:type="dxa"/>
          </w:tcPr>
          <w:p w14:paraId="2E29458A" w14:textId="0F041721" w:rsidR="00CF2D19" w:rsidRPr="00F579A9" w:rsidRDefault="00F105AA" w:rsidP="00CF2D19">
            <w:pPr>
              <w:spacing w:after="200"/>
              <w:ind w:hanging="2"/>
              <w:rPr>
                <w:rFonts w:ascii="Times New Roman" w:hAnsi="Times New Roman" w:cs="Times New Roman"/>
                <w:sz w:val="20"/>
                <w:szCs w:val="20"/>
              </w:rPr>
            </w:pPr>
            <w:r>
              <w:rPr>
                <w:rFonts w:ascii="Times New Roman" w:hAnsi="Times New Roman" w:cs="Times New Roman"/>
                <w:sz w:val="20"/>
                <w:szCs w:val="20"/>
              </w:rPr>
              <w:t>T</w:t>
            </w:r>
            <w:r w:rsidR="000C09A5">
              <w:rPr>
                <w:rFonts w:ascii="Times New Roman" w:hAnsi="Times New Roman" w:cs="Times New Roman"/>
                <w:sz w:val="20"/>
                <w:szCs w:val="20"/>
              </w:rPr>
              <w:t>heoretical</w:t>
            </w:r>
          </w:p>
        </w:tc>
        <w:tc>
          <w:tcPr>
            <w:tcW w:w="1939" w:type="dxa"/>
          </w:tcPr>
          <w:p w14:paraId="005D814C"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This editorial examines the extent to which current literature addresses the role of policy changes in enhancing medication adherence.</w:t>
            </w:r>
          </w:p>
        </w:tc>
        <w:tc>
          <w:tcPr>
            <w:tcW w:w="1674" w:type="dxa"/>
          </w:tcPr>
          <w:p w14:paraId="1E360300" w14:textId="77777777" w:rsidR="00CF2D19" w:rsidRPr="00F579A9" w:rsidRDefault="00CF2D19" w:rsidP="00CF2D19">
            <w:pPr>
              <w:spacing w:after="200"/>
              <w:ind w:right="-108" w:hanging="2"/>
              <w:rPr>
                <w:rFonts w:ascii="Times New Roman" w:hAnsi="Times New Roman" w:cs="Times New Roman"/>
                <w:sz w:val="20"/>
                <w:szCs w:val="20"/>
              </w:rPr>
            </w:pPr>
            <w:r w:rsidRPr="00F579A9">
              <w:rPr>
                <w:rFonts w:ascii="Times New Roman" w:hAnsi="Times New Roman" w:cs="Times New Roman"/>
                <w:sz w:val="20"/>
                <w:szCs w:val="20"/>
              </w:rPr>
              <w:t>Qualitative systematic review</w:t>
            </w:r>
          </w:p>
        </w:tc>
        <w:tc>
          <w:tcPr>
            <w:tcW w:w="2422" w:type="dxa"/>
          </w:tcPr>
          <w:p w14:paraId="191DC7EF"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Thematic analysis</w:t>
            </w:r>
          </w:p>
        </w:tc>
        <w:tc>
          <w:tcPr>
            <w:tcW w:w="1765" w:type="dxa"/>
          </w:tcPr>
          <w:p w14:paraId="268BCEC7"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Addressing the issue of medication non-adherence necessitates an approach that combines multiple strategies.</w:t>
            </w:r>
          </w:p>
        </w:tc>
        <w:tc>
          <w:tcPr>
            <w:tcW w:w="1555" w:type="dxa"/>
          </w:tcPr>
          <w:p w14:paraId="5C886F8C"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No</w:t>
            </w:r>
          </w:p>
        </w:tc>
      </w:tr>
      <w:tr w:rsidR="00235CA4" w:rsidRPr="00F579A9" w14:paraId="15A407F8" w14:textId="77777777" w:rsidTr="00CF2D19">
        <w:trPr>
          <w:trHeight w:val="400"/>
          <w:jc w:val="center"/>
        </w:trPr>
        <w:tc>
          <w:tcPr>
            <w:tcW w:w="1642" w:type="dxa"/>
          </w:tcPr>
          <w:p w14:paraId="323D3EB0" w14:textId="77777777" w:rsidR="00CF2D19" w:rsidRPr="008F02C4" w:rsidRDefault="00CF2D19" w:rsidP="00CF2D19">
            <w:pPr>
              <w:spacing w:after="200"/>
              <w:ind w:hanging="2"/>
              <w:rPr>
                <w:rFonts w:ascii="Times New Roman" w:hAnsi="Times New Roman" w:cs="Times New Roman"/>
                <w:sz w:val="20"/>
                <w:szCs w:val="20"/>
                <w:lang w:val="pt-BR"/>
              </w:rPr>
            </w:pPr>
            <w:r w:rsidRPr="008F02C4">
              <w:rPr>
                <w:rFonts w:ascii="Times New Roman" w:hAnsi="Times New Roman" w:cs="Times New Roman"/>
                <w:sz w:val="20"/>
                <w:szCs w:val="20"/>
                <w:lang w:val="pt-BR"/>
              </w:rPr>
              <w:t>Aremu, T. O., Oluwole, O. E., Adeyinka, K. O., &amp;</w:t>
            </w:r>
          </w:p>
          <w:p w14:paraId="19BF8777" w14:textId="77777777" w:rsidR="00CF2D19" w:rsidRPr="008F02C4" w:rsidRDefault="00CF2D19" w:rsidP="00CF2D19">
            <w:pPr>
              <w:spacing w:after="200"/>
              <w:ind w:hanging="2"/>
              <w:rPr>
                <w:rFonts w:ascii="Times New Roman" w:hAnsi="Times New Roman" w:cs="Times New Roman"/>
                <w:sz w:val="20"/>
                <w:szCs w:val="20"/>
                <w:lang w:val="pt-BR"/>
              </w:rPr>
            </w:pPr>
          </w:p>
        </w:tc>
        <w:tc>
          <w:tcPr>
            <w:tcW w:w="1868" w:type="dxa"/>
          </w:tcPr>
          <w:p w14:paraId="63BCAAA2" w14:textId="23DA6587" w:rsidR="00CF2D19" w:rsidRPr="00F579A9" w:rsidRDefault="000C09A5" w:rsidP="00CF2D19">
            <w:pPr>
              <w:spacing w:after="200"/>
              <w:ind w:hanging="2"/>
              <w:rPr>
                <w:rFonts w:ascii="Times New Roman" w:hAnsi="Times New Roman" w:cs="Times New Roman"/>
                <w:sz w:val="20"/>
                <w:szCs w:val="20"/>
              </w:rPr>
            </w:pPr>
            <w:r>
              <w:rPr>
                <w:rFonts w:ascii="Times New Roman" w:hAnsi="Times New Roman" w:cs="Times New Roman"/>
                <w:sz w:val="20"/>
                <w:szCs w:val="20"/>
              </w:rPr>
              <w:t>Theoretical</w:t>
            </w:r>
          </w:p>
        </w:tc>
        <w:tc>
          <w:tcPr>
            <w:tcW w:w="1939" w:type="dxa"/>
          </w:tcPr>
          <w:p w14:paraId="57EAF0DA" w14:textId="77777777" w:rsidR="00CF2D19" w:rsidRPr="00F579A9" w:rsidRDefault="00CF2D19" w:rsidP="00CF2D19">
            <w:pPr>
              <w:spacing w:after="200"/>
              <w:rPr>
                <w:rFonts w:ascii="Times New Roman" w:hAnsi="Times New Roman" w:cs="Times New Roman"/>
                <w:sz w:val="20"/>
                <w:szCs w:val="20"/>
              </w:rPr>
            </w:pPr>
            <w:r w:rsidRPr="00F579A9">
              <w:rPr>
                <w:rFonts w:ascii="Times New Roman" w:hAnsi="Times New Roman" w:cs="Times New Roman"/>
                <w:sz w:val="20"/>
                <w:szCs w:val="20"/>
              </w:rPr>
              <w:t>Embracing partnerships between providers’ organizations and faith-based and community organizations could drive adherence.</w:t>
            </w:r>
          </w:p>
        </w:tc>
        <w:tc>
          <w:tcPr>
            <w:tcW w:w="1674" w:type="dxa"/>
          </w:tcPr>
          <w:p w14:paraId="6B26B987" w14:textId="77777777" w:rsidR="00CF2D19" w:rsidRPr="00F579A9" w:rsidRDefault="00CF2D19" w:rsidP="00CF2D19">
            <w:pPr>
              <w:spacing w:after="200"/>
              <w:ind w:right="-108" w:hanging="2"/>
              <w:rPr>
                <w:rFonts w:ascii="Times New Roman" w:hAnsi="Times New Roman" w:cs="Times New Roman"/>
                <w:sz w:val="20"/>
                <w:szCs w:val="20"/>
              </w:rPr>
            </w:pPr>
            <w:r w:rsidRPr="00F579A9">
              <w:rPr>
                <w:rFonts w:ascii="Times New Roman" w:hAnsi="Times New Roman" w:cs="Times New Roman"/>
                <w:sz w:val="20"/>
                <w:szCs w:val="20"/>
              </w:rPr>
              <w:t>Qualitative systematic review</w:t>
            </w:r>
          </w:p>
        </w:tc>
        <w:tc>
          <w:tcPr>
            <w:tcW w:w="2422" w:type="dxa"/>
          </w:tcPr>
          <w:p w14:paraId="47A8642F"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Thematic analysis</w:t>
            </w:r>
          </w:p>
        </w:tc>
        <w:tc>
          <w:tcPr>
            <w:tcW w:w="1765" w:type="dxa"/>
          </w:tcPr>
          <w:p w14:paraId="22182788"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Patients’ adherence to medications is a key factor in achieving improved health outcomes and overall well-being.</w:t>
            </w:r>
          </w:p>
        </w:tc>
        <w:tc>
          <w:tcPr>
            <w:tcW w:w="1555" w:type="dxa"/>
          </w:tcPr>
          <w:p w14:paraId="13B158B0"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No</w:t>
            </w:r>
          </w:p>
        </w:tc>
      </w:tr>
      <w:tr w:rsidR="00235CA4" w:rsidRPr="00F579A9" w14:paraId="767D04F7" w14:textId="77777777" w:rsidTr="00CF2D19">
        <w:trPr>
          <w:trHeight w:val="400"/>
          <w:jc w:val="center"/>
        </w:trPr>
        <w:tc>
          <w:tcPr>
            <w:tcW w:w="1642" w:type="dxa"/>
          </w:tcPr>
          <w:p w14:paraId="2D329344" w14:textId="39BBC9B9" w:rsidR="00CF2D19" w:rsidRPr="008F02C4" w:rsidRDefault="00CF2D19" w:rsidP="00CF2D19">
            <w:pPr>
              <w:spacing w:after="200"/>
              <w:ind w:hanging="2"/>
              <w:rPr>
                <w:rFonts w:ascii="Times New Roman" w:hAnsi="Times New Roman" w:cs="Times New Roman"/>
                <w:sz w:val="20"/>
                <w:szCs w:val="20"/>
                <w:lang w:val="es-ES"/>
              </w:rPr>
            </w:pPr>
            <w:r w:rsidRPr="008F02C4">
              <w:rPr>
                <w:rFonts w:ascii="Times New Roman" w:hAnsi="Times New Roman" w:cs="Times New Roman"/>
                <w:sz w:val="20"/>
                <w:szCs w:val="20"/>
                <w:lang w:val="es-ES"/>
              </w:rPr>
              <w:lastRenderedPageBreak/>
              <w:t>Babel, A., Taneja, R., Mondello Malvestiti, F., Monaco, A., &amp; Donde, S. (2021).</w:t>
            </w:r>
          </w:p>
        </w:tc>
        <w:tc>
          <w:tcPr>
            <w:tcW w:w="1868" w:type="dxa"/>
          </w:tcPr>
          <w:p w14:paraId="08485872" w14:textId="7125B801" w:rsidR="00CF2D19" w:rsidRPr="00F579A9" w:rsidRDefault="000C09A5" w:rsidP="00CF2D19">
            <w:pPr>
              <w:spacing w:after="200"/>
              <w:ind w:hanging="2"/>
              <w:rPr>
                <w:rFonts w:ascii="Times New Roman" w:hAnsi="Times New Roman" w:cs="Times New Roman"/>
                <w:sz w:val="20"/>
                <w:szCs w:val="20"/>
              </w:rPr>
            </w:pPr>
            <w:r>
              <w:rPr>
                <w:rFonts w:ascii="Times New Roman" w:hAnsi="Times New Roman" w:cs="Times New Roman"/>
                <w:sz w:val="20"/>
                <w:szCs w:val="20"/>
              </w:rPr>
              <w:t>Theoretical</w:t>
            </w:r>
          </w:p>
        </w:tc>
        <w:tc>
          <w:tcPr>
            <w:tcW w:w="1939" w:type="dxa"/>
          </w:tcPr>
          <w:p w14:paraId="5A75BE7E"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color w:val="282828"/>
                <w:sz w:val="20"/>
                <w:szCs w:val="20"/>
                <w:shd w:val="clear" w:color="auto" w:fill="F7F7F7"/>
              </w:rPr>
              <w:t>Describe studies from the literature on AI and AI-assisted solutions that can be used to measure and increase medication adherence in patients with.</w:t>
            </w:r>
          </w:p>
        </w:tc>
        <w:tc>
          <w:tcPr>
            <w:tcW w:w="1674" w:type="dxa"/>
          </w:tcPr>
          <w:p w14:paraId="7219C0A3" w14:textId="77777777" w:rsidR="00CF2D19" w:rsidRPr="00F579A9" w:rsidRDefault="00CF2D19" w:rsidP="00CF2D19">
            <w:pPr>
              <w:spacing w:after="200"/>
              <w:ind w:right="-108" w:hanging="2"/>
              <w:rPr>
                <w:rFonts w:ascii="Times New Roman" w:hAnsi="Times New Roman" w:cs="Times New Roman"/>
                <w:sz w:val="20"/>
                <w:szCs w:val="20"/>
              </w:rPr>
            </w:pPr>
            <w:r w:rsidRPr="00F579A9">
              <w:rPr>
                <w:rFonts w:ascii="Times New Roman" w:hAnsi="Times New Roman" w:cs="Times New Roman"/>
                <w:sz w:val="20"/>
                <w:szCs w:val="20"/>
              </w:rPr>
              <w:t>Qualitative narrative review</w:t>
            </w:r>
          </w:p>
        </w:tc>
        <w:tc>
          <w:tcPr>
            <w:tcW w:w="2422" w:type="dxa"/>
          </w:tcPr>
          <w:p w14:paraId="61001763"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color w:val="282828"/>
                <w:sz w:val="20"/>
                <w:szCs w:val="20"/>
                <w:shd w:val="clear" w:color="auto" w:fill="F7F7F7"/>
              </w:rPr>
              <w:t>To identify topics of interest for this narrative review, we searched PubMed, Embase, and Web of Science for relevant articles.</w:t>
            </w:r>
          </w:p>
        </w:tc>
        <w:tc>
          <w:tcPr>
            <w:tcW w:w="1765" w:type="dxa"/>
          </w:tcPr>
          <w:p w14:paraId="5B8E19A3"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color w:val="282828"/>
                <w:sz w:val="20"/>
                <w:szCs w:val="20"/>
                <w:shd w:val="clear" w:color="auto" w:fill="F7F7F7"/>
              </w:rPr>
              <w:t>The use of AI may be key to understanding the complex interplay of factors that underlie medication non-adherence.</w:t>
            </w:r>
          </w:p>
        </w:tc>
        <w:tc>
          <w:tcPr>
            <w:tcW w:w="1555" w:type="dxa"/>
          </w:tcPr>
          <w:p w14:paraId="757A78E6" w14:textId="4513560E" w:rsidR="00CF2D19" w:rsidRPr="00F579A9" w:rsidRDefault="00B166C2" w:rsidP="00CF2D19">
            <w:pPr>
              <w:spacing w:after="200"/>
              <w:ind w:hanging="2"/>
              <w:rPr>
                <w:rFonts w:ascii="Times New Roman" w:hAnsi="Times New Roman" w:cs="Times New Roman"/>
                <w:sz w:val="20"/>
                <w:szCs w:val="20"/>
              </w:rPr>
            </w:pPr>
            <w:r>
              <w:rPr>
                <w:rFonts w:ascii="Times New Roman" w:hAnsi="Times New Roman" w:cs="Times New Roman"/>
                <w:sz w:val="20"/>
                <w:szCs w:val="20"/>
              </w:rPr>
              <w:t>Yes</w:t>
            </w:r>
          </w:p>
        </w:tc>
      </w:tr>
      <w:tr w:rsidR="00235CA4" w:rsidRPr="00F579A9" w14:paraId="5689FC5D" w14:textId="77777777" w:rsidTr="00CF2D19">
        <w:trPr>
          <w:trHeight w:val="400"/>
          <w:jc w:val="center"/>
        </w:trPr>
        <w:tc>
          <w:tcPr>
            <w:tcW w:w="1642" w:type="dxa"/>
          </w:tcPr>
          <w:p w14:paraId="2EF988A7" w14:textId="74369831" w:rsidR="00CF2D19" w:rsidRPr="00F579A9" w:rsidRDefault="00CF2D19" w:rsidP="00CF2D19">
            <w:pPr>
              <w:spacing w:after="200"/>
              <w:rPr>
                <w:rFonts w:ascii="Times New Roman" w:hAnsi="Times New Roman" w:cs="Times New Roman"/>
                <w:sz w:val="20"/>
                <w:szCs w:val="20"/>
              </w:rPr>
            </w:pPr>
            <w:r w:rsidRPr="00F579A9">
              <w:rPr>
                <w:rFonts w:ascii="Times New Roman" w:hAnsi="Times New Roman" w:cs="Times New Roman"/>
                <w:sz w:val="20"/>
                <w:szCs w:val="20"/>
              </w:rPr>
              <w:t>Baryakova, T. H., Pogostin, B. H., Langer, R., &amp; McHugh, K. J. (2023).</w:t>
            </w:r>
          </w:p>
        </w:tc>
        <w:tc>
          <w:tcPr>
            <w:tcW w:w="1868" w:type="dxa"/>
          </w:tcPr>
          <w:p w14:paraId="35FC4D4E" w14:textId="4634B8A7" w:rsidR="00CF2D19" w:rsidRPr="00F579A9" w:rsidRDefault="000C09A5" w:rsidP="00CF2D19">
            <w:pPr>
              <w:spacing w:after="200"/>
              <w:ind w:hanging="2"/>
              <w:rPr>
                <w:rFonts w:ascii="Times New Roman" w:hAnsi="Times New Roman" w:cs="Times New Roman"/>
                <w:sz w:val="20"/>
                <w:szCs w:val="20"/>
              </w:rPr>
            </w:pPr>
            <w:r>
              <w:rPr>
                <w:rFonts w:ascii="Times New Roman" w:hAnsi="Times New Roman" w:cs="Times New Roman"/>
                <w:sz w:val="20"/>
                <w:szCs w:val="20"/>
              </w:rPr>
              <w:t>Theoretical</w:t>
            </w:r>
          </w:p>
        </w:tc>
        <w:tc>
          <w:tcPr>
            <w:tcW w:w="1939" w:type="dxa"/>
          </w:tcPr>
          <w:p w14:paraId="0117475F" w14:textId="3D22F083"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Formulating</w:t>
            </w:r>
            <w:r>
              <w:rPr>
                <w:rFonts w:ascii="Times New Roman" w:hAnsi="Times New Roman" w:cs="Times New Roman"/>
                <w:sz w:val="20"/>
                <w:szCs w:val="20"/>
              </w:rPr>
              <w:t xml:space="preserve"> </w:t>
            </w:r>
            <w:r w:rsidRPr="00F579A9">
              <w:rPr>
                <w:rFonts w:ascii="Times New Roman" w:hAnsi="Times New Roman" w:cs="Times New Roman"/>
                <w:sz w:val="20"/>
                <w:szCs w:val="20"/>
              </w:rPr>
              <w:t>a pharmaceutical in a drug delivery system (DDS) is a promising alternative that can directly mitigate many common impediments to</w:t>
            </w:r>
            <w:r>
              <w:rPr>
                <w:rFonts w:ascii="Times New Roman" w:hAnsi="Times New Roman" w:cs="Times New Roman"/>
                <w:sz w:val="20"/>
                <w:szCs w:val="20"/>
              </w:rPr>
              <w:t xml:space="preserve"> </w:t>
            </w:r>
            <w:r w:rsidRPr="00F579A9">
              <w:rPr>
                <w:rFonts w:ascii="Times New Roman" w:hAnsi="Times New Roman" w:cs="Times New Roman"/>
                <w:sz w:val="20"/>
                <w:szCs w:val="20"/>
              </w:rPr>
              <w:t>adherence, including frequent dosing, adverse effects, and delayed</w:t>
            </w:r>
            <w:r>
              <w:rPr>
                <w:rFonts w:ascii="Times New Roman" w:hAnsi="Times New Roman" w:cs="Times New Roman"/>
                <w:sz w:val="20"/>
                <w:szCs w:val="20"/>
              </w:rPr>
              <w:t xml:space="preserve"> </w:t>
            </w:r>
            <w:r w:rsidRPr="00F579A9">
              <w:rPr>
                <w:rFonts w:ascii="Times New Roman" w:hAnsi="Times New Roman" w:cs="Times New Roman"/>
                <w:sz w:val="20"/>
                <w:szCs w:val="20"/>
              </w:rPr>
              <w:t>onset of action</w:t>
            </w:r>
          </w:p>
        </w:tc>
        <w:tc>
          <w:tcPr>
            <w:tcW w:w="1674" w:type="dxa"/>
          </w:tcPr>
          <w:p w14:paraId="7519C6D3" w14:textId="77777777" w:rsidR="00CF2D19" w:rsidRPr="00F579A9" w:rsidRDefault="00CF2D19" w:rsidP="00CF2D19">
            <w:pPr>
              <w:spacing w:after="200"/>
              <w:ind w:right="-108" w:hanging="2"/>
              <w:rPr>
                <w:rFonts w:ascii="Times New Roman" w:hAnsi="Times New Roman" w:cs="Times New Roman"/>
                <w:sz w:val="20"/>
                <w:szCs w:val="20"/>
              </w:rPr>
            </w:pPr>
            <w:r w:rsidRPr="00F579A9">
              <w:rPr>
                <w:rFonts w:ascii="Times New Roman" w:hAnsi="Times New Roman" w:cs="Times New Roman"/>
                <w:sz w:val="20"/>
                <w:szCs w:val="20"/>
              </w:rPr>
              <w:t>Qualitative systematic review (RQ1)</w:t>
            </w:r>
          </w:p>
        </w:tc>
        <w:tc>
          <w:tcPr>
            <w:tcW w:w="2422" w:type="dxa"/>
          </w:tcPr>
          <w:p w14:paraId="3F1EB6BD" w14:textId="13477DD0"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Existing DDSs have already positively influenced</w:t>
            </w:r>
            <w:r>
              <w:rPr>
                <w:rFonts w:ascii="Times New Roman" w:hAnsi="Times New Roman" w:cs="Times New Roman"/>
                <w:sz w:val="20"/>
                <w:szCs w:val="20"/>
              </w:rPr>
              <w:t xml:space="preserve"> </w:t>
            </w:r>
            <w:r w:rsidRPr="00F579A9">
              <w:rPr>
                <w:rFonts w:ascii="Times New Roman" w:hAnsi="Times New Roman" w:cs="Times New Roman"/>
                <w:sz w:val="20"/>
                <w:szCs w:val="20"/>
              </w:rPr>
              <w:t>patient acceptability and improved rates of adherence across various</w:t>
            </w:r>
            <w:r>
              <w:rPr>
                <w:rFonts w:ascii="Times New Roman" w:hAnsi="Times New Roman" w:cs="Times New Roman"/>
                <w:sz w:val="20"/>
                <w:szCs w:val="20"/>
              </w:rPr>
              <w:t xml:space="preserve"> </w:t>
            </w:r>
            <w:r w:rsidRPr="00F579A9">
              <w:rPr>
                <w:rFonts w:ascii="Times New Roman" w:hAnsi="Times New Roman" w:cs="Times New Roman"/>
                <w:sz w:val="20"/>
                <w:szCs w:val="20"/>
              </w:rPr>
              <w:t>disease and intervention types.</w:t>
            </w:r>
          </w:p>
          <w:p w14:paraId="18554196" w14:textId="77777777" w:rsidR="00CF2D19" w:rsidRPr="00F579A9" w:rsidRDefault="00CF2D19" w:rsidP="00CF2D19">
            <w:pPr>
              <w:pStyle w:val="p1"/>
              <w:spacing w:after="200" w:line="240" w:lineRule="auto"/>
              <w:rPr>
                <w:rFonts w:ascii="Times New Roman" w:hAnsi="Times New Roman" w:cs="Times New Roman"/>
                <w:sz w:val="20"/>
                <w:szCs w:val="20"/>
              </w:rPr>
            </w:pPr>
          </w:p>
        </w:tc>
        <w:tc>
          <w:tcPr>
            <w:tcW w:w="1765" w:type="dxa"/>
          </w:tcPr>
          <w:p w14:paraId="4A2B8449" w14:textId="00719DF2"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To have the greatest impact, DDSs must be developed in a way that</w:t>
            </w:r>
            <w:r>
              <w:rPr>
                <w:rFonts w:ascii="Times New Roman" w:hAnsi="Times New Roman" w:cs="Times New Roman"/>
                <w:sz w:val="20"/>
                <w:szCs w:val="20"/>
              </w:rPr>
              <w:t xml:space="preserve"> </w:t>
            </w:r>
            <w:r w:rsidRPr="00F579A9">
              <w:rPr>
                <w:rFonts w:ascii="Times New Roman" w:hAnsi="Times New Roman" w:cs="Times New Roman"/>
                <w:sz w:val="20"/>
                <w:szCs w:val="20"/>
              </w:rPr>
              <w:t>aligns with the needs of patients, clinicians, and pharmaceutical companies</w:t>
            </w:r>
            <w:r w:rsidRPr="00F579A9">
              <w:rPr>
                <w:rStyle w:val="s1"/>
                <w:rFonts w:ascii="Times New Roman" w:hAnsi="Times New Roman" w:cs="Times New Roman"/>
                <w:sz w:val="20"/>
                <w:szCs w:val="20"/>
              </w:rPr>
              <w:t>, and payers.</w:t>
            </w:r>
          </w:p>
        </w:tc>
        <w:tc>
          <w:tcPr>
            <w:tcW w:w="1555" w:type="dxa"/>
          </w:tcPr>
          <w:p w14:paraId="027ED3A4" w14:textId="228E97B1" w:rsidR="00CF2D19" w:rsidRPr="00F579A9" w:rsidRDefault="00B166C2" w:rsidP="00CF2D19">
            <w:pPr>
              <w:spacing w:after="200"/>
              <w:ind w:hanging="2"/>
              <w:rPr>
                <w:rFonts w:ascii="Times New Roman" w:hAnsi="Times New Roman" w:cs="Times New Roman"/>
                <w:sz w:val="20"/>
                <w:szCs w:val="20"/>
              </w:rPr>
            </w:pPr>
            <w:r>
              <w:rPr>
                <w:rFonts w:ascii="Times New Roman" w:hAnsi="Times New Roman" w:cs="Times New Roman"/>
                <w:sz w:val="20"/>
                <w:szCs w:val="20"/>
              </w:rPr>
              <w:t>Yes</w:t>
            </w:r>
          </w:p>
        </w:tc>
      </w:tr>
      <w:tr w:rsidR="00235CA4" w:rsidRPr="00F579A9" w14:paraId="7E5A8172" w14:textId="77777777" w:rsidTr="00CF2D19">
        <w:trPr>
          <w:trHeight w:val="400"/>
          <w:jc w:val="center"/>
        </w:trPr>
        <w:tc>
          <w:tcPr>
            <w:tcW w:w="1642" w:type="dxa"/>
          </w:tcPr>
          <w:p w14:paraId="1C0B4726" w14:textId="77777777" w:rsidR="00CF2D19" w:rsidRPr="00F579A9" w:rsidRDefault="00CF2D19" w:rsidP="00CF2D19">
            <w:pPr>
              <w:spacing w:after="200"/>
              <w:rPr>
                <w:rFonts w:ascii="Times New Roman" w:hAnsi="Times New Roman" w:cs="Times New Roman"/>
                <w:sz w:val="20"/>
                <w:szCs w:val="20"/>
              </w:rPr>
            </w:pPr>
            <w:r w:rsidRPr="00F579A9">
              <w:rPr>
                <w:rFonts w:ascii="Times New Roman" w:hAnsi="Times New Roman" w:cs="Times New Roman"/>
                <w:sz w:val="20"/>
                <w:szCs w:val="20"/>
              </w:rPr>
              <w:t>Booth, R. G., Strudwick, G., McBride, S., O’Connor, S., &amp; Solano López, A. L. (2021).</w:t>
            </w:r>
          </w:p>
        </w:tc>
        <w:tc>
          <w:tcPr>
            <w:tcW w:w="1868" w:type="dxa"/>
          </w:tcPr>
          <w:p w14:paraId="200521DA" w14:textId="0955A0BB" w:rsidR="00CF2D19" w:rsidRPr="00F579A9" w:rsidRDefault="000C09A5" w:rsidP="00CF2D19">
            <w:pPr>
              <w:spacing w:after="200"/>
              <w:rPr>
                <w:rFonts w:ascii="Times New Roman" w:hAnsi="Times New Roman" w:cs="Times New Roman"/>
                <w:sz w:val="20"/>
                <w:szCs w:val="20"/>
              </w:rPr>
            </w:pPr>
            <w:r>
              <w:rPr>
                <w:rFonts w:ascii="Times New Roman" w:hAnsi="Times New Roman" w:cs="Times New Roman"/>
                <w:sz w:val="20"/>
                <w:szCs w:val="20"/>
              </w:rPr>
              <w:t>Theoretical</w:t>
            </w:r>
          </w:p>
        </w:tc>
        <w:tc>
          <w:tcPr>
            <w:tcW w:w="1939" w:type="dxa"/>
          </w:tcPr>
          <w:p w14:paraId="1FAD6E6B" w14:textId="0ED794C8"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Digital technologies increasingly affect nursing</w:t>
            </w:r>
            <w:r>
              <w:rPr>
                <w:rFonts w:ascii="Times New Roman" w:hAnsi="Times New Roman" w:cs="Times New Roman"/>
                <w:sz w:val="20"/>
                <w:szCs w:val="20"/>
              </w:rPr>
              <w:t xml:space="preserve"> </w:t>
            </w:r>
            <w:r w:rsidRPr="00F579A9">
              <w:rPr>
                <w:rFonts w:ascii="Times New Roman" w:hAnsi="Times New Roman" w:cs="Times New Roman"/>
                <w:sz w:val="20"/>
                <w:szCs w:val="20"/>
              </w:rPr>
              <w:t>globally.</w:t>
            </w:r>
          </w:p>
          <w:p w14:paraId="5B71B245" w14:textId="77777777" w:rsidR="00CF2D19" w:rsidRPr="00F579A9" w:rsidRDefault="00CF2D19" w:rsidP="00CF2D19">
            <w:pPr>
              <w:spacing w:after="200"/>
              <w:ind w:hanging="2"/>
              <w:rPr>
                <w:rFonts w:ascii="Times New Roman" w:hAnsi="Times New Roman" w:cs="Times New Roman"/>
                <w:sz w:val="20"/>
                <w:szCs w:val="20"/>
              </w:rPr>
            </w:pPr>
          </w:p>
        </w:tc>
        <w:tc>
          <w:tcPr>
            <w:tcW w:w="1674" w:type="dxa"/>
          </w:tcPr>
          <w:p w14:paraId="1609E8FD"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Qualitative systematic review (RQ1)</w:t>
            </w:r>
          </w:p>
        </w:tc>
        <w:tc>
          <w:tcPr>
            <w:tcW w:w="2422" w:type="dxa"/>
          </w:tcPr>
          <w:p w14:paraId="2C778CF1" w14:textId="7A08913E"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Slow progress in some areas has been due to lack</w:t>
            </w:r>
            <w:r>
              <w:rPr>
                <w:rFonts w:ascii="Times New Roman" w:hAnsi="Times New Roman" w:cs="Times New Roman"/>
                <w:sz w:val="20"/>
                <w:szCs w:val="20"/>
              </w:rPr>
              <w:t xml:space="preserve"> </w:t>
            </w:r>
            <w:r w:rsidRPr="00F579A9">
              <w:rPr>
                <w:rFonts w:ascii="Times New Roman" w:hAnsi="Times New Roman" w:cs="Times New Roman"/>
                <w:sz w:val="20"/>
                <w:szCs w:val="20"/>
              </w:rPr>
              <w:t>of leadership and investment that supports nurses</w:t>
            </w:r>
            <w:r>
              <w:rPr>
                <w:rFonts w:ascii="Times New Roman" w:hAnsi="Times New Roman" w:cs="Times New Roman"/>
                <w:sz w:val="20"/>
                <w:szCs w:val="20"/>
              </w:rPr>
              <w:t xml:space="preserve"> </w:t>
            </w:r>
            <w:r w:rsidRPr="00F579A9">
              <w:rPr>
                <w:rFonts w:ascii="Times New Roman" w:hAnsi="Times New Roman" w:cs="Times New Roman"/>
                <w:sz w:val="20"/>
                <w:szCs w:val="20"/>
              </w:rPr>
              <w:t>to champion and lead digital health initiatives.</w:t>
            </w:r>
          </w:p>
          <w:p w14:paraId="0166C801" w14:textId="77777777" w:rsidR="00CF2D19" w:rsidRPr="00F579A9" w:rsidRDefault="00CF2D19" w:rsidP="00CF2D19">
            <w:pPr>
              <w:pStyle w:val="p1"/>
              <w:spacing w:after="200" w:line="240" w:lineRule="auto"/>
              <w:rPr>
                <w:rFonts w:ascii="Times New Roman" w:hAnsi="Times New Roman" w:cs="Times New Roman"/>
                <w:sz w:val="20"/>
                <w:szCs w:val="20"/>
              </w:rPr>
            </w:pPr>
          </w:p>
        </w:tc>
        <w:tc>
          <w:tcPr>
            <w:tcW w:w="1765" w:type="dxa"/>
          </w:tcPr>
          <w:p w14:paraId="14085BE0" w14:textId="6B5DF6F2"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Nursing will continue to offer value and importance to healthcare</w:t>
            </w:r>
            <w:r>
              <w:rPr>
                <w:rFonts w:ascii="Times New Roman" w:hAnsi="Times New Roman" w:cs="Times New Roman"/>
                <w:sz w:val="20"/>
                <w:szCs w:val="20"/>
              </w:rPr>
              <w:t xml:space="preserve"> </w:t>
            </w:r>
            <w:r w:rsidRPr="00F579A9">
              <w:rPr>
                <w:rFonts w:ascii="Times New Roman" w:hAnsi="Times New Roman" w:cs="Times New Roman"/>
                <w:sz w:val="20"/>
                <w:szCs w:val="20"/>
              </w:rPr>
              <w:t>systems in the coming decades.</w:t>
            </w:r>
          </w:p>
        </w:tc>
        <w:tc>
          <w:tcPr>
            <w:tcW w:w="1555" w:type="dxa"/>
          </w:tcPr>
          <w:p w14:paraId="771F144B" w14:textId="3AA5C155" w:rsidR="00CF2D19" w:rsidRPr="00F579A9" w:rsidRDefault="00B166C2" w:rsidP="00CF2D19">
            <w:pPr>
              <w:spacing w:after="200"/>
              <w:ind w:hanging="2"/>
              <w:rPr>
                <w:rFonts w:ascii="Times New Roman" w:hAnsi="Times New Roman" w:cs="Times New Roman"/>
                <w:sz w:val="20"/>
                <w:szCs w:val="20"/>
              </w:rPr>
            </w:pPr>
            <w:r>
              <w:rPr>
                <w:rFonts w:ascii="Times New Roman" w:hAnsi="Times New Roman" w:cs="Times New Roman"/>
                <w:sz w:val="20"/>
                <w:szCs w:val="20"/>
              </w:rPr>
              <w:t>Yes</w:t>
            </w:r>
          </w:p>
        </w:tc>
      </w:tr>
      <w:tr w:rsidR="00235CA4" w:rsidRPr="00F579A9" w14:paraId="3218696C" w14:textId="77777777" w:rsidTr="00CF2D19">
        <w:trPr>
          <w:trHeight w:val="2798"/>
          <w:jc w:val="center"/>
        </w:trPr>
        <w:tc>
          <w:tcPr>
            <w:tcW w:w="1642" w:type="dxa"/>
          </w:tcPr>
          <w:p w14:paraId="7124EA85" w14:textId="77777777" w:rsidR="00CF2D19" w:rsidRPr="00F579A9" w:rsidRDefault="00CF2D19" w:rsidP="00CF2D19">
            <w:pPr>
              <w:spacing w:after="200"/>
              <w:rPr>
                <w:rFonts w:ascii="Times New Roman" w:hAnsi="Times New Roman" w:cs="Times New Roman"/>
                <w:sz w:val="20"/>
                <w:szCs w:val="20"/>
              </w:rPr>
            </w:pPr>
            <w:r w:rsidRPr="00F579A9">
              <w:rPr>
                <w:rFonts w:ascii="Times New Roman" w:hAnsi="Times New Roman" w:cs="Times New Roman"/>
                <w:sz w:val="20"/>
                <w:szCs w:val="20"/>
              </w:rPr>
              <w:lastRenderedPageBreak/>
              <w:t>Buh, A., Deonandan, R., Gomes, J., Krentel, A., Oladimeji, O., &amp; Yaya, S. (2023).</w:t>
            </w:r>
          </w:p>
          <w:p w14:paraId="3045F71D" w14:textId="77777777" w:rsidR="00CF2D19" w:rsidRPr="00F579A9" w:rsidRDefault="00CF2D19" w:rsidP="00CF2D19">
            <w:pPr>
              <w:spacing w:after="200"/>
              <w:ind w:hanging="2"/>
              <w:rPr>
                <w:rFonts w:ascii="Times New Roman" w:hAnsi="Times New Roman" w:cs="Times New Roman"/>
                <w:sz w:val="20"/>
                <w:szCs w:val="20"/>
              </w:rPr>
            </w:pPr>
          </w:p>
        </w:tc>
        <w:tc>
          <w:tcPr>
            <w:tcW w:w="1868" w:type="dxa"/>
          </w:tcPr>
          <w:p w14:paraId="0725E4B0" w14:textId="7B4F854E" w:rsidR="00CF2D19" w:rsidRPr="00F579A9" w:rsidRDefault="000C09A5" w:rsidP="00CF2D19">
            <w:pPr>
              <w:spacing w:after="200"/>
              <w:ind w:hanging="2"/>
              <w:rPr>
                <w:rFonts w:ascii="Times New Roman" w:hAnsi="Times New Roman" w:cs="Times New Roman"/>
                <w:sz w:val="20"/>
                <w:szCs w:val="20"/>
              </w:rPr>
            </w:pPr>
            <w:r>
              <w:rPr>
                <w:rFonts w:ascii="Times New Roman" w:hAnsi="Times New Roman" w:cs="Times New Roman"/>
                <w:sz w:val="20"/>
                <w:szCs w:val="20"/>
              </w:rPr>
              <w:t>Conceptual</w:t>
            </w:r>
          </w:p>
        </w:tc>
        <w:tc>
          <w:tcPr>
            <w:tcW w:w="1939" w:type="dxa"/>
          </w:tcPr>
          <w:p w14:paraId="7593D1EE" w14:textId="0D423BC4" w:rsidR="00CF2D19" w:rsidRPr="00F579A9" w:rsidRDefault="00CF2D19" w:rsidP="00CF2D19">
            <w:pPr>
              <w:pStyle w:val="NormalWeb"/>
              <w:spacing w:before="0" w:beforeAutospacing="0" w:after="200" w:afterAutospacing="0"/>
              <w:rPr>
                <w:rFonts w:ascii="Times New Roman" w:hAnsi="Times New Roman" w:cs="Times New Roman"/>
                <w:sz w:val="20"/>
                <w:szCs w:val="20"/>
              </w:rPr>
            </w:pPr>
            <w:r w:rsidRPr="00F579A9">
              <w:rPr>
                <w:rFonts w:ascii="Times New Roman" w:hAnsi="Times New Roman" w:cs="Times New Roman"/>
                <w:sz w:val="20"/>
                <w:szCs w:val="20"/>
              </w:rPr>
              <w:t>The HIV/AIDS pandemic remains a significant public health issue, with sub-Saharan Africa (SSA) at its epicenter.</w:t>
            </w:r>
            <w:bookmarkStart w:id="113" w:name="sec002"/>
            <w:bookmarkEnd w:id="113"/>
          </w:p>
          <w:p w14:paraId="42E986F4" w14:textId="77777777" w:rsidR="00CF2D19" w:rsidRPr="00F579A9" w:rsidRDefault="00CF2D19" w:rsidP="00CF2D19">
            <w:pPr>
              <w:pStyle w:val="p1"/>
              <w:spacing w:after="200" w:line="240" w:lineRule="auto"/>
              <w:rPr>
                <w:rFonts w:ascii="Times New Roman" w:hAnsi="Times New Roman" w:cs="Times New Roman"/>
                <w:sz w:val="20"/>
                <w:szCs w:val="20"/>
              </w:rPr>
            </w:pPr>
          </w:p>
        </w:tc>
        <w:tc>
          <w:tcPr>
            <w:tcW w:w="1674" w:type="dxa"/>
          </w:tcPr>
          <w:p w14:paraId="13EB2346" w14:textId="77777777" w:rsidR="00CF2D19" w:rsidRPr="00F579A9" w:rsidRDefault="00CF2D19" w:rsidP="00CF2D19">
            <w:pPr>
              <w:pStyle w:val="p1"/>
              <w:spacing w:after="200" w:line="240" w:lineRule="auto"/>
              <w:rPr>
                <w:rFonts w:ascii="Times New Roman" w:hAnsi="Times New Roman" w:cs="Times New Roman"/>
                <w:sz w:val="20"/>
                <w:szCs w:val="20"/>
              </w:rPr>
            </w:pPr>
          </w:p>
        </w:tc>
        <w:tc>
          <w:tcPr>
            <w:tcW w:w="2422" w:type="dxa"/>
          </w:tcPr>
          <w:p w14:paraId="3EB4E5BC" w14:textId="77777777" w:rsidR="00CF2D19" w:rsidRPr="00F579A9" w:rsidRDefault="00CF2D19" w:rsidP="00CF2D19">
            <w:pPr>
              <w:pStyle w:val="NormalWeb"/>
              <w:spacing w:before="0" w:beforeAutospacing="0" w:after="200" w:afterAutospacing="0"/>
              <w:rPr>
                <w:rFonts w:ascii="Times New Roman" w:hAnsi="Times New Roman" w:cs="Times New Roman"/>
                <w:sz w:val="20"/>
                <w:szCs w:val="20"/>
              </w:rPr>
            </w:pPr>
            <w:r w:rsidRPr="00F579A9">
              <w:rPr>
                <w:rFonts w:ascii="Times New Roman" w:hAnsi="Times New Roman" w:cs="Times New Roman"/>
                <w:sz w:val="20"/>
                <w:szCs w:val="20"/>
              </w:rPr>
              <w:t>From an initial pool of 12,538 papers, 45 were selected (30 for narrative synthesis and 15 for meta-analysis)</w:t>
            </w:r>
            <w:bookmarkStart w:id="114" w:name="sec004"/>
            <w:bookmarkEnd w:id="114"/>
            <w:r w:rsidRPr="00F579A9">
              <w:rPr>
                <w:rFonts w:ascii="Times New Roman" w:hAnsi="Times New Roman" w:cs="Times New Roman"/>
                <w:sz w:val="20"/>
                <w:szCs w:val="20"/>
              </w:rPr>
              <w:t>.</w:t>
            </w:r>
          </w:p>
          <w:p w14:paraId="3CDE24B4" w14:textId="77777777" w:rsidR="00CF2D19" w:rsidRPr="00F579A9" w:rsidRDefault="00CF2D19" w:rsidP="00CF2D19">
            <w:pPr>
              <w:pStyle w:val="p1"/>
              <w:spacing w:after="200" w:line="240" w:lineRule="auto"/>
              <w:rPr>
                <w:rFonts w:ascii="Times New Roman" w:hAnsi="Times New Roman" w:cs="Times New Roman"/>
                <w:sz w:val="20"/>
                <w:szCs w:val="20"/>
              </w:rPr>
            </w:pPr>
          </w:p>
        </w:tc>
        <w:tc>
          <w:tcPr>
            <w:tcW w:w="1765" w:type="dxa"/>
          </w:tcPr>
          <w:p w14:paraId="0C1B9568" w14:textId="0AD04BB7" w:rsidR="00CF2D19" w:rsidRPr="00F579A9" w:rsidRDefault="00CF2D19" w:rsidP="00CF2D19">
            <w:pPr>
              <w:pStyle w:val="NormalWeb"/>
              <w:spacing w:before="0" w:beforeAutospacing="0" w:after="200" w:afterAutospacing="0"/>
              <w:rPr>
                <w:rFonts w:ascii="Times New Roman" w:hAnsi="Times New Roman" w:cs="Times New Roman"/>
                <w:sz w:val="20"/>
                <w:szCs w:val="20"/>
              </w:rPr>
            </w:pPr>
            <w:r w:rsidRPr="00F579A9">
              <w:rPr>
                <w:rFonts w:ascii="Times New Roman" w:hAnsi="Times New Roman" w:cs="Times New Roman"/>
                <w:sz w:val="20"/>
                <w:szCs w:val="20"/>
              </w:rPr>
              <w:t>ART adherence in SSA is influenced by seven key factors. Multiple interventions, either standalone or combined, have shown effectiveness in enhancing ART adherence.</w:t>
            </w:r>
          </w:p>
        </w:tc>
        <w:tc>
          <w:tcPr>
            <w:tcW w:w="1555" w:type="dxa"/>
          </w:tcPr>
          <w:p w14:paraId="193F7280" w14:textId="55EE6F81"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es</w:t>
            </w:r>
          </w:p>
        </w:tc>
      </w:tr>
      <w:tr w:rsidR="00235CA4" w:rsidRPr="00F579A9" w14:paraId="1D61A062" w14:textId="77777777" w:rsidTr="00CF2D19">
        <w:trPr>
          <w:trHeight w:val="400"/>
          <w:jc w:val="center"/>
        </w:trPr>
        <w:tc>
          <w:tcPr>
            <w:tcW w:w="1642" w:type="dxa"/>
          </w:tcPr>
          <w:p w14:paraId="6D9134AA"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Cady, P. (2021).</w:t>
            </w:r>
          </w:p>
        </w:tc>
        <w:tc>
          <w:tcPr>
            <w:tcW w:w="1868" w:type="dxa"/>
          </w:tcPr>
          <w:p w14:paraId="769E5531" w14:textId="0E952715" w:rsidR="00CF2D19" w:rsidRPr="00F579A9" w:rsidRDefault="000C09A5" w:rsidP="00CF2D19">
            <w:pPr>
              <w:spacing w:after="200"/>
              <w:ind w:hanging="2"/>
              <w:rPr>
                <w:rFonts w:ascii="Times New Roman" w:hAnsi="Times New Roman" w:cs="Times New Roman"/>
                <w:sz w:val="20"/>
                <w:szCs w:val="20"/>
              </w:rPr>
            </w:pPr>
            <w:r>
              <w:rPr>
                <w:rFonts w:ascii="Times New Roman" w:hAnsi="Times New Roman" w:cs="Times New Roman"/>
                <w:sz w:val="20"/>
                <w:szCs w:val="20"/>
              </w:rPr>
              <w:t>Theoretical</w:t>
            </w:r>
          </w:p>
        </w:tc>
        <w:tc>
          <w:tcPr>
            <w:tcW w:w="1939" w:type="dxa"/>
          </w:tcPr>
          <w:p w14:paraId="33372752"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color w:val="333333"/>
                <w:sz w:val="20"/>
                <w:szCs w:val="20"/>
                <w:shd w:val="clear" w:color="auto" w:fill="FFFFFF"/>
              </w:rPr>
              <w:t>At its core, this research aimed to investigate the impact of system optimization leadership strategies.</w:t>
            </w:r>
          </w:p>
        </w:tc>
        <w:tc>
          <w:tcPr>
            <w:tcW w:w="1674" w:type="dxa"/>
          </w:tcPr>
          <w:p w14:paraId="65EC4BA1"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Quantitative quasi-experimental research design.</w:t>
            </w:r>
          </w:p>
        </w:tc>
        <w:tc>
          <w:tcPr>
            <w:tcW w:w="2422" w:type="dxa"/>
          </w:tcPr>
          <w:p w14:paraId="351E4D56" w14:textId="7C9CACAA" w:rsidR="00CF2D19" w:rsidRPr="00F579A9" w:rsidRDefault="00CF2D19" w:rsidP="00CF2D19">
            <w:pPr>
              <w:pStyle w:val="p1"/>
              <w:spacing w:after="200" w:line="240" w:lineRule="auto"/>
              <w:rPr>
                <w:rFonts w:ascii="Times New Roman" w:hAnsi="Times New Roman" w:cs="Times New Roman"/>
                <w:sz w:val="20"/>
                <w:szCs w:val="20"/>
              </w:rPr>
            </w:pPr>
            <w:r w:rsidRPr="00F579A9">
              <w:rPr>
                <w:rStyle w:val="apple-converted-space"/>
                <w:rFonts w:ascii="Times New Roman" w:hAnsi="Times New Roman" w:cs="Times New Roman"/>
                <w:sz w:val="20"/>
                <w:szCs w:val="20"/>
                <w:shd w:val="clear" w:color="auto" w:fill="FFFFFF"/>
              </w:rPr>
              <w:t xml:space="preserve">A </w:t>
            </w:r>
            <w:r w:rsidRPr="00F579A9">
              <w:rPr>
                <w:rFonts w:ascii="Times New Roman" w:hAnsi="Times New Roman" w:cs="Times New Roman"/>
                <w:sz w:val="20"/>
                <w:szCs w:val="20"/>
              </w:rPr>
              <w:t>quasi-experimental pretest-</w:t>
            </w:r>
            <w:r w:rsidR="0076635F" w:rsidRPr="00F579A9">
              <w:rPr>
                <w:rFonts w:ascii="Times New Roman" w:hAnsi="Times New Roman" w:cs="Times New Roman"/>
                <w:sz w:val="20"/>
                <w:szCs w:val="20"/>
              </w:rPr>
              <w:t>post test</w:t>
            </w:r>
            <w:r w:rsidRPr="00F579A9">
              <w:rPr>
                <w:rFonts w:ascii="Times New Roman" w:hAnsi="Times New Roman" w:cs="Times New Roman"/>
                <w:sz w:val="20"/>
                <w:szCs w:val="20"/>
              </w:rPr>
              <w:t xml:space="preserve"> research design was employed to investigate the impact of a systems thinking workshop on system performance</w:t>
            </w:r>
            <w:r w:rsidRPr="00F579A9">
              <w:rPr>
                <w:rFonts w:ascii="Times New Roman" w:hAnsi="Times New Roman" w:cs="Times New Roman"/>
                <w:color w:val="333333"/>
                <w:sz w:val="20"/>
                <w:szCs w:val="20"/>
                <w:shd w:val="clear" w:color="auto" w:fill="FFFFFF"/>
              </w:rPr>
              <w:t>.</w:t>
            </w:r>
          </w:p>
        </w:tc>
        <w:tc>
          <w:tcPr>
            <w:tcW w:w="1765" w:type="dxa"/>
          </w:tcPr>
          <w:p w14:paraId="66899AA8"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45 participants from a global medical technology firm participated in systems thinking simulation games, and scores were transferred.</w:t>
            </w:r>
          </w:p>
        </w:tc>
        <w:tc>
          <w:tcPr>
            <w:tcW w:w="1555" w:type="dxa"/>
          </w:tcPr>
          <w:p w14:paraId="47FF04A2"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Yes</w:t>
            </w:r>
          </w:p>
        </w:tc>
      </w:tr>
      <w:tr w:rsidR="00235CA4" w:rsidRPr="00F579A9" w14:paraId="0D5F5B5E" w14:textId="77777777" w:rsidTr="00CF2D19">
        <w:trPr>
          <w:trHeight w:val="400"/>
          <w:jc w:val="center"/>
        </w:trPr>
        <w:tc>
          <w:tcPr>
            <w:tcW w:w="1642" w:type="dxa"/>
          </w:tcPr>
          <w:p w14:paraId="455287CC"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Cahaya, N., Kristina, S. A., Widayanti, A. W., &amp; Green, J. (2022).</w:t>
            </w:r>
          </w:p>
        </w:tc>
        <w:tc>
          <w:tcPr>
            <w:tcW w:w="1868" w:type="dxa"/>
          </w:tcPr>
          <w:p w14:paraId="0A307FCB" w14:textId="2D139C12" w:rsidR="00CF2D19" w:rsidRPr="00F579A9" w:rsidRDefault="000C09A5" w:rsidP="00CF2D19">
            <w:pPr>
              <w:spacing w:after="200"/>
              <w:ind w:hanging="2"/>
              <w:rPr>
                <w:rFonts w:ascii="Times New Roman" w:hAnsi="Times New Roman" w:cs="Times New Roman"/>
                <w:sz w:val="20"/>
                <w:szCs w:val="20"/>
              </w:rPr>
            </w:pPr>
            <w:r>
              <w:rPr>
                <w:rFonts w:ascii="Times New Roman" w:hAnsi="Times New Roman" w:cs="Times New Roman"/>
                <w:sz w:val="20"/>
                <w:szCs w:val="20"/>
              </w:rPr>
              <w:t>Conceptual</w:t>
            </w:r>
          </w:p>
        </w:tc>
        <w:tc>
          <w:tcPr>
            <w:tcW w:w="1939" w:type="dxa"/>
          </w:tcPr>
          <w:p w14:paraId="01A34AB1" w14:textId="77777777" w:rsidR="00CF2D19" w:rsidRPr="00F579A9" w:rsidRDefault="00CF2D19" w:rsidP="00CF2D19">
            <w:pPr>
              <w:pStyle w:val="p1"/>
              <w:spacing w:after="200" w:line="240" w:lineRule="auto"/>
              <w:rPr>
                <w:rFonts w:ascii="Times New Roman" w:hAnsi="Times New Roman" w:cs="Times New Roman"/>
                <w:sz w:val="20"/>
                <w:szCs w:val="20"/>
              </w:rPr>
            </w:pPr>
          </w:p>
        </w:tc>
        <w:tc>
          <w:tcPr>
            <w:tcW w:w="1674" w:type="dxa"/>
          </w:tcPr>
          <w:p w14:paraId="707527C3"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Qualitative systematic review</w:t>
            </w:r>
          </w:p>
        </w:tc>
        <w:tc>
          <w:tcPr>
            <w:tcW w:w="2422" w:type="dxa"/>
          </w:tcPr>
          <w:p w14:paraId="59835E46"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In all studies in this review, it was found that various health care professionals were found to act as people who provide interventions to people with schizophrenia.</w:t>
            </w:r>
          </w:p>
        </w:tc>
        <w:tc>
          <w:tcPr>
            <w:tcW w:w="1765" w:type="dxa"/>
          </w:tcPr>
          <w:p w14:paraId="1FC4812B"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Of the 15 studies, 2 have no significant effect on increasing adherence in people with schizophrenia,</w:t>
            </w:r>
          </w:p>
        </w:tc>
        <w:tc>
          <w:tcPr>
            <w:tcW w:w="1555" w:type="dxa"/>
          </w:tcPr>
          <w:p w14:paraId="509C0B03"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No</w:t>
            </w:r>
          </w:p>
        </w:tc>
      </w:tr>
      <w:tr w:rsidR="00235CA4" w:rsidRPr="00F579A9" w14:paraId="63416964" w14:textId="77777777" w:rsidTr="00CF2D19">
        <w:trPr>
          <w:trHeight w:val="400"/>
          <w:jc w:val="center"/>
        </w:trPr>
        <w:tc>
          <w:tcPr>
            <w:tcW w:w="1642" w:type="dxa"/>
          </w:tcPr>
          <w:p w14:paraId="1E40E07E"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lastRenderedPageBreak/>
              <w:t>Chapman, S., Frostholm, L., Chalder, T., Graham, C., de Thurah, A., van Leeuwen, T., Pedersen, M. M., Carstensen, T., &amp; Weinman, J. (2024).</w:t>
            </w:r>
          </w:p>
          <w:p w14:paraId="39F11638" w14:textId="77777777" w:rsidR="00CF2D19" w:rsidRPr="00F579A9" w:rsidRDefault="00CF2D19" w:rsidP="00CF2D19">
            <w:pPr>
              <w:spacing w:after="200"/>
              <w:ind w:hanging="2"/>
              <w:rPr>
                <w:rFonts w:ascii="Times New Roman" w:hAnsi="Times New Roman" w:cs="Times New Roman"/>
                <w:sz w:val="20"/>
                <w:szCs w:val="20"/>
              </w:rPr>
            </w:pPr>
          </w:p>
        </w:tc>
        <w:tc>
          <w:tcPr>
            <w:tcW w:w="1868" w:type="dxa"/>
          </w:tcPr>
          <w:p w14:paraId="70EE3104" w14:textId="7FDC45F4" w:rsidR="00CF2D19" w:rsidRPr="00F579A9" w:rsidRDefault="000C09A5" w:rsidP="00CF2D19">
            <w:pPr>
              <w:spacing w:after="200"/>
              <w:ind w:hanging="2"/>
              <w:rPr>
                <w:rFonts w:ascii="Times New Roman" w:hAnsi="Times New Roman" w:cs="Times New Roman"/>
                <w:sz w:val="20"/>
                <w:szCs w:val="20"/>
              </w:rPr>
            </w:pPr>
            <w:r>
              <w:rPr>
                <w:rFonts w:ascii="Times New Roman" w:hAnsi="Times New Roman" w:cs="Times New Roman"/>
                <w:sz w:val="20"/>
                <w:szCs w:val="20"/>
              </w:rPr>
              <w:t>Theoretical</w:t>
            </w:r>
          </w:p>
        </w:tc>
        <w:tc>
          <w:tcPr>
            <w:tcW w:w="1939" w:type="dxa"/>
          </w:tcPr>
          <w:p w14:paraId="7CDB5C03"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We argue and present evidence below that the time when patients start a new treatment is a ‘critical period’ for nonadherence, because nonadherence at the point of initiating treatment may predispose patients to longer-term nonadherence.</w:t>
            </w:r>
          </w:p>
        </w:tc>
        <w:tc>
          <w:tcPr>
            <w:tcW w:w="1674" w:type="dxa"/>
          </w:tcPr>
          <w:p w14:paraId="0665DF25"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Qualitative systematic review</w:t>
            </w:r>
          </w:p>
        </w:tc>
        <w:tc>
          <w:tcPr>
            <w:tcW w:w="2422" w:type="dxa"/>
          </w:tcPr>
          <w:p w14:paraId="0D2E5241"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We would propose that there are four broad categories of intervention which may be useful for preventing nonadherence and which further research could investigate: nonadherence deliverable by the direct healthcare team</w:t>
            </w:r>
          </w:p>
        </w:tc>
        <w:tc>
          <w:tcPr>
            <w:tcW w:w="1765" w:type="dxa"/>
          </w:tcPr>
          <w:p w14:paraId="451649DA"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Preventing nonadherence before it becomes established may be achievable and could arguably yield greater benefit for patients, healthcare professionals, and healthcare systems.</w:t>
            </w:r>
          </w:p>
        </w:tc>
        <w:tc>
          <w:tcPr>
            <w:tcW w:w="1555" w:type="dxa"/>
          </w:tcPr>
          <w:p w14:paraId="031BF98E"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No</w:t>
            </w:r>
          </w:p>
        </w:tc>
      </w:tr>
      <w:tr w:rsidR="00235CA4" w:rsidRPr="00F579A9" w14:paraId="78ADD592" w14:textId="77777777" w:rsidTr="00CF2D19">
        <w:trPr>
          <w:trHeight w:val="400"/>
          <w:jc w:val="center"/>
        </w:trPr>
        <w:tc>
          <w:tcPr>
            <w:tcW w:w="1642" w:type="dxa"/>
          </w:tcPr>
          <w:p w14:paraId="5F7512FF" w14:textId="77777777" w:rsidR="00CF2D19" w:rsidRPr="008F02C4" w:rsidRDefault="00CF2D19" w:rsidP="00CF2D19">
            <w:pPr>
              <w:spacing w:after="200"/>
              <w:rPr>
                <w:rFonts w:ascii="Times New Roman" w:hAnsi="Times New Roman" w:cs="Times New Roman"/>
                <w:sz w:val="20"/>
                <w:szCs w:val="20"/>
                <w:lang w:val="es-ES"/>
              </w:rPr>
            </w:pPr>
            <w:r w:rsidRPr="008F02C4">
              <w:rPr>
                <w:rFonts w:ascii="Times New Roman" w:hAnsi="Times New Roman" w:cs="Times New Roman"/>
                <w:sz w:val="20"/>
                <w:szCs w:val="20"/>
                <w:lang w:val="es-ES"/>
              </w:rPr>
              <w:t>Corral-Partearroyo, C., Sánchez-Viñas, A., Gil-Girbau, M., Peñarrubia-María, M. T., Aznar-Lou, I., Gallardo-González, C., Olmos-Palenzuela, M. D. C., &amp; Rubio-Valera, M. (2022).</w:t>
            </w:r>
          </w:p>
          <w:p w14:paraId="2966A02C" w14:textId="77777777" w:rsidR="00CF2D19" w:rsidRPr="008F02C4" w:rsidRDefault="00CF2D19" w:rsidP="00CF2D19">
            <w:pPr>
              <w:spacing w:after="200"/>
              <w:ind w:hanging="2"/>
              <w:rPr>
                <w:rFonts w:ascii="Times New Roman" w:hAnsi="Times New Roman" w:cs="Times New Roman"/>
                <w:sz w:val="20"/>
                <w:szCs w:val="20"/>
                <w:lang w:val="es-ES"/>
              </w:rPr>
            </w:pPr>
          </w:p>
        </w:tc>
        <w:tc>
          <w:tcPr>
            <w:tcW w:w="1868" w:type="dxa"/>
          </w:tcPr>
          <w:p w14:paraId="611B8229" w14:textId="1562D19B" w:rsidR="00CF2D19" w:rsidRPr="00F579A9" w:rsidRDefault="000C09A5" w:rsidP="00CF2D19">
            <w:pPr>
              <w:spacing w:after="200"/>
              <w:rPr>
                <w:rFonts w:ascii="Times New Roman" w:hAnsi="Times New Roman" w:cs="Times New Roman"/>
                <w:sz w:val="20"/>
                <w:szCs w:val="20"/>
              </w:rPr>
            </w:pPr>
            <w:r>
              <w:rPr>
                <w:rFonts w:ascii="Times New Roman" w:hAnsi="Times New Roman" w:cs="Times New Roman"/>
                <w:sz w:val="20"/>
                <w:szCs w:val="20"/>
              </w:rPr>
              <w:t>Theoretical</w:t>
            </w:r>
          </w:p>
        </w:tc>
        <w:tc>
          <w:tcPr>
            <w:tcW w:w="1939" w:type="dxa"/>
          </w:tcPr>
          <w:p w14:paraId="775D585A"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This paper presents the development and implementation strategy of the IMA intervention, as well as the process evaluation protocol embedded in a cluster-randomized controlled trial. (the IMA-cRCT)</w:t>
            </w:r>
          </w:p>
        </w:tc>
        <w:tc>
          <w:tcPr>
            <w:tcW w:w="1674" w:type="dxa"/>
          </w:tcPr>
          <w:p w14:paraId="53135F64"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Mixed-Method</w:t>
            </w:r>
          </w:p>
        </w:tc>
        <w:tc>
          <w:tcPr>
            <w:tcW w:w="2422" w:type="dxa"/>
          </w:tcPr>
          <w:p w14:paraId="293F7258"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We present the protocol for a mixed-methods process evaluation, incorporating both quantitative and qualitative methods to measure implementation and fidelity, and to explore the active mechanisms and interactions between the intervention, participants, and their context.</w:t>
            </w:r>
          </w:p>
        </w:tc>
        <w:tc>
          <w:tcPr>
            <w:tcW w:w="1765" w:type="dxa"/>
          </w:tcPr>
          <w:p w14:paraId="02126CD8"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N/A (trial study)</w:t>
            </w:r>
          </w:p>
        </w:tc>
        <w:tc>
          <w:tcPr>
            <w:tcW w:w="1555" w:type="dxa"/>
          </w:tcPr>
          <w:p w14:paraId="17E649E7" w14:textId="77777777" w:rsidR="00CF2D19" w:rsidRPr="00F579A9" w:rsidRDefault="00CF2D19" w:rsidP="00CF2D19">
            <w:pPr>
              <w:spacing w:after="200"/>
              <w:rPr>
                <w:rFonts w:ascii="Times New Roman" w:hAnsi="Times New Roman" w:cs="Times New Roman"/>
                <w:sz w:val="20"/>
                <w:szCs w:val="20"/>
              </w:rPr>
            </w:pPr>
            <w:r w:rsidRPr="00F579A9">
              <w:rPr>
                <w:rFonts w:ascii="Times New Roman" w:hAnsi="Times New Roman" w:cs="Times New Roman"/>
                <w:sz w:val="20"/>
                <w:szCs w:val="20"/>
              </w:rPr>
              <w:t>Yes</w:t>
            </w:r>
          </w:p>
        </w:tc>
      </w:tr>
      <w:tr w:rsidR="00235CA4" w:rsidRPr="00F579A9" w14:paraId="1DBEEDAB" w14:textId="77777777" w:rsidTr="00CF2D19">
        <w:trPr>
          <w:trHeight w:val="400"/>
          <w:jc w:val="center"/>
        </w:trPr>
        <w:tc>
          <w:tcPr>
            <w:tcW w:w="1642" w:type="dxa"/>
          </w:tcPr>
          <w:p w14:paraId="22615ED4" w14:textId="13AF16F8"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lastRenderedPageBreak/>
              <w:t>Emami, M., Haghdoost, A. A., Yazdi-Feyzabadi, V., &amp; Mehrolhassani, M. H. (2023).</w:t>
            </w:r>
          </w:p>
        </w:tc>
        <w:tc>
          <w:tcPr>
            <w:tcW w:w="1868" w:type="dxa"/>
          </w:tcPr>
          <w:p w14:paraId="0C7F9D85" w14:textId="5D10070C" w:rsidR="00CF2D19" w:rsidRPr="00F579A9" w:rsidRDefault="000C09A5" w:rsidP="00CF2D19">
            <w:pPr>
              <w:spacing w:after="200"/>
              <w:ind w:hanging="2"/>
              <w:rPr>
                <w:rFonts w:ascii="Times New Roman" w:hAnsi="Times New Roman" w:cs="Times New Roman"/>
                <w:sz w:val="20"/>
                <w:szCs w:val="20"/>
              </w:rPr>
            </w:pPr>
            <w:r>
              <w:rPr>
                <w:rFonts w:ascii="Times New Roman" w:hAnsi="Times New Roman" w:cs="Times New Roman"/>
                <w:sz w:val="20"/>
                <w:szCs w:val="20"/>
              </w:rPr>
              <w:t>Theoretical</w:t>
            </w:r>
          </w:p>
        </w:tc>
        <w:tc>
          <w:tcPr>
            <w:tcW w:w="1939" w:type="dxa"/>
          </w:tcPr>
          <w:p w14:paraId="16CABB21"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Dynamic, systemic planning and targeting in the health system require attention to all system components.</w:t>
            </w:r>
          </w:p>
        </w:tc>
        <w:tc>
          <w:tcPr>
            <w:tcW w:w="1674" w:type="dxa"/>
          </w:tcPr>
          <w:p w14:paraId="7A79A339"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Qualitative systematic review</w:t>
            </w:r>
          </w:p>
        </w:tc>
        <w:tc>
          <w:tcPr>
            <w:tcW w:w="2422" w:type="dxa"/>
          </w:tcPr>
          <w:p w14:paraId="2777B16D"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In health system analysis, key components were divided into 18 main categories and 45 sub-categories.</w:t>
            </w:r>
          </w:p>
        </w:tc>
        <w:tc>
          <w:tcPr>
            <w:tcW w:w="1765" w:type="dxa"/>
          </w:tcPr>
          <w:p w14:paraId="02BE8A70" w14:textId="6C6C596A"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In the present study, components related to all dimensions of the HS.</w:t>
            </w:r>
          </w:p>
        </w:tc>
        <w:tc>
          <w:tcPr>
            <w:tcW w:w="1555" w:type="dxa"/>
          </w:tcPr>
          <w:p w14:paraId="62D197F1"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No</w:t>
            </w:r>
          </w:p>
        </w:tc>
      </w:tr>
      <w:tr w:rsidR="00235CA4" w:rsidRPr="00F579A9" w14:paraId="51BD10B0" w14:textId="77777777" w:rsidTr="00CF2D19">
        <w:trPr>
          <w:trHeight w:val="400"/>
          <w:jc w:val="center"/>
        </w:trPr>
        <w:tc>
          <w:tcPr>
            <w:tcW w:w="1642" w:type="dxa"/>
          </w:tcPr>
          <w:p w14:paraId="4E2899E3" w14:textId="0725A64C" w:rsidR="00CF2D19" w:rsidRPr="008F02C4" w:rsidRDefault="00CF2D19" w:rsidP="00CF2D19">
            <w:pPr>
              <w:spacing w:after="200"/>
              <w:ind w:hanging="2"/>
              <w:rPr>
                <w:rFonts w:ascii="Times New Roman" w:hAnsi="Times New Roman" w:cs="Times New Roman"/>
                <w:sz w:val="20"/>
                <w:szCs w:val="20"/>
                <w:lang w:val="fr-FR"/>
              </w:rPr>
            </w:pPr>
            <w:r w:rsidRPr="008F02C4">
              <w:rPr>
                <w:rFonts w:ascii="Times New Roman" w:hAnsi="Times New Roman" w:cs="Times New Roman"/>
                <w:sz w:val="20"/>
                <w:szCs w:val="20"/>
                <w:lang w:val="fr-FR"/>
              </w:rPr>
              <w:t>Faisal, S., Ivo, J., Tennant, R., Prior, K. A., Grindrod, K., McMillan, C., &amp; Patel, T. (2021).</w:t>
            </w:r>
          </w:p>
        </w:tc>
        <w:tc>
          <w:tcPr>
            <w:tcW w:w="1868" w:type="dxa"/>
          </w:tcPr>
          <w:p w14:paraId="06A47DCC" w14:textId="4B227D49" w:rsidR="00CF2D19" w:rsidRPr="00F579A9" w:rsidRDefault="000C09A5" w:rsidP="00CF2D19">
            <w:pPr>
              <w:spacing w:after="200"/>
              <w:ind w:hanging="2"/>
              <w:rPr>
                <w:rFonts w:ascii="Times New Roman" w:hAnsi="Times New Roman" w:cs="Times New Roman"/>
                <w:sz w:val="20"/>
                <w:szCs w:val="20"/>
              </w:rPr>
            </w:pPr>
            <w:r>
              <w:rPr>
                <w:rFonts w:ascii="Times New Roman" w:hAnsi="Times New Roman" w:cs="Times New Roman"/>
                <w:sz w:val="20"/>
                <w:szCs w:val="20"/>
              </w:rPr>
              <w:t>Theoretical</w:t>
            </w:r>
          </w:p>
        </w:tc>
        <w:tc>
          <w:tcPr>
            <w:tcW w:w="1939" w:type="dxa"/>
          </w:tcPr>
          <w:p w14:paraId="6F7AB6E6"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The purpose of this study was to explore factors affecting the implementation of a real-time adherence-monitoring, multidose-dispensing system in community pharmacies</w:t>
            </w:r>
          </w:p>
        </w:tc>
        <w:tc>
          <w:tcPr>
            <w:tcW w:w="1674" w:type="dxa"/>
          </w:tcPr>
          <w:p w14:paraId="51C793CF"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Mixed-method pilot study</w:t>
            </w:r>
          </w:p>
        </w:tc>
        <w:tc>
          <w:tcPr>
            <w:tcW w:w="2422" w:type="dxa"/>
          </w:tcPr>
          <w:p w14:paraId="707E4895"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In our study, pharmacists perceived the value of real-time adherence data. They stated that this access would give them the confidence to address non-adherence issues with their patients.</w:t>
            </w:r>
          </w:p>
        </w:tc>
        <w:tc>
          <w:tcPr>
            <w:tcW w:w="1765" w:type="dxa"/>
          </w:tcPr>
          <w:p w14:paraId="37B37AE9"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Products that offer real-time medication intake monitoring are valued by healthcare providers, especially pharmacists.</w:t>
            </w:r>
          </w:p>
        </w:tc>
        <w:tc>
          <w:tcPr>
            <w:tcW w:w="1555" w:type="dxa"/>
          </w:tcPr>
          <w:p w14:paraId="7B7EFD01"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Yes</w:t>
            </w:r>
          </w:p>
        </w:tc>
      </w:tr>
      <w:tr w:rsidR="00235CA4" w:rsidRPr="00F579A9" w14:paraId="7A9BEA5B" w14:textId="77777777" w:rsidTr="00CF2D19">
        <w:trPr>
          <w:trHeight w:val="400"/>
          <w:jc w:val="center"/>
        </w:trPr>
        <w:tc>
          <w:tcPr>
            <w:tcW w:w="1642" w:type="dxa"/>
          </w:tcPr>
          <w:p w14:paraId="0018C6D4" w14:textId="3F10EB74" w:rsidR="00CF2D19" w:rsidRPr="00F579A9" w:rsidRDefault="00CF2D19" w:rsidP="00CF2D19">
            <w:pPr>
              <w:spacing w:after="200"/>
              <w:rPr>
                <w:rFonts w:ascii="Times New Roman" w:hAnsi="Times New Roman" w:cs="Times New Roman"/>
                <w:sz w:val="20"/>
                <w:szCs w:val="20"/>
              </w:rPr>
            </w:pPr>
            <w:r w:rsidRPr="00F579A9">
              <w:rPr>
                <w:rFonts w:ascii="Times New Roman" w:hAnsi="Times New Roman" w:cs="Times New Roman"/>
                <w:sz w:val="20"/>
                <w:szCs w:val="20"/>
              </w:rPr>
              <w:t>Friedberg, R. D., Neelley, M., Zucker, J., Hanna, A., Mendelsohn, A., Greenberger, A., &amp; Dunevich, N. (2024).</w:t>
            </w:r>
          </w:p>
        </w:tc>
        <w:tc>
          <w:tcPr>
            <w:tcW w:w="1868" w:type="dxa"/>
          </w:tcPr>
          <w:p w14:paraId="51905841" w14:textId="4128D490" w:rsidR="00CF2D19" w:rsidRPr="00F579A9" w:rsidRDefault="000C09A5" w:rsidP="00CF2D19">
            <w:pPr>
              <w:spacing w:after="200"/>
              <w:rPr>
                <w:rFonts w:ascii="Times New Roman" w:hAnsi="Times New Roman" w:cs="Times New Roman"/>
                <w:sz w:val="20"/>
                <w:szCs w:val="20"/>
              </w:rPr>
            </w:pPr>
            <w:r>
              <w:rPr>
                <w:rFonts w:ascii="Times New Roman" w:hAnsi="Times New Roman" w:cs="Times New Roman"/>
                <w:sz w:val="20"/>
                <w:szCs w:val="20"/>
              </w:rPr>
              <w:t>Conceptual</w:t>
            </w:r>
          </w:p>
        </w:tc>
        <w:tc>
          <w:tcPr>
            <w:tcW w:w="1939" w:type="dxa"/>
          </w:tcPr>
          <w:p w14:paraId="29969A05"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This article focuses on the application of CBT to four medical conditions characterized by elevated levels of non-adherence: pill-swallowing difficulties.</w:t>
            </w:r>
          </w:p>
        </w:tc>
        <w:tc>
          <w:tcPr>
            <w:tcW w:w="1674" w:type="dxa"/>
          </w:tcPr>
          <w:p w14:paraId="119F8238"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Qualitative systematic review</w:t>
            </w:r>
          </w:p>
        </w:tc>
        <w:tc>
          <w:tcPr>
            <w:tcW w:w="2422" w:type="dxa"/>
          </w:tcPr>
          <w:p w14:paraId="2F534E00"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Psychoeducational interventions are unobtrusive and straightforward techniques that can be readily implemented by CBT clinicians and pharmacists.</w:t>
            </w:r>
          </w:p>
        </w:tc>
        <w:tc>
          <w:tcPr>
            <w:tcW w:w="1765" w:type="dxa"/>
          </w:tcPr>
          <w:p w14:paraId="29E41D8F"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The research literature examining non-adherence to medical regimens reveals several challenging issues.</w:t>
            </w:r>
          </w:p>
        </w:tc>
        <w:tc>
          <w:tcPr>
            <w:tcW w:w="1555" w:type="dxa"/>
          </w:tcPr>
          <w:p w14:paraId="2F4EBC56"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No</w:t>
            </w:r>
          </w:p>
        </w:tc>
      </w:tr>
      <w:tr w:rsidR="00235CA4" w:rsidRPr="00F579A9" w14:paraId="2454C103" w14:textId="77777777" w:rsidTr="00CF2D19">
        <w:trPr>
          <w:trHeight w:val="400"/>
          <w:jc w:val="center"/>
        </w:trPr>
        <w:tc>
          <w:tcPr>
            <w:tcW w:w="1642" w:type="dxa"/>
          </w:tcPr>
          <w:p w14:paraId="4A7AB153"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Fusco, N., Sils, B., Graff, J.S., Kistler, K., &amp; Ruiz, K. (2023).</w:t>
            </w:r>
          </w:p>
          <w:p w14:paraId="5FF19830" w14:textId="77777777" w:rsidR="00CF2D19" w:rsidRPr="00F579A9" w:rsidRDefault="00CF2D19" w:rsidP="00CF2D19">
            <w:pPr>
              <w:spacing w:after="200"/>
              <w:ind w:hanging="2"/>
              <w:rPr>
                <w:rFonts w:ascii="Times New Roman" w:hAnsi="Times New Roman" w:cs="Times New Roman"/>
                <w:sz w:val="20"/>
                <w:szCs w:val="20"/>
              </w:rPr>
            </w:pPr>
          </w:p>
        </w:tc>
        <w:tc>
          <w:tcPr>
            <w:tcW w:w="1868" w:type="dxa"/>
          </w:tcPr>
          <w:p w14:paraId="52685DE0" w14:textId="12D1B38D" w:rsidR="00CF2D19" w:rsidRPr="00F579A9" w:rsidRDefault="00222119" w:rsidP="00CF2D19">
            <w:pPr>
              <w:spacing w:after="200"/>
              <w:ind w:hanging="2"/>
              <w:rPr>
                <w:rFonts w:ascii="Times New Roman" w:hAnsi="Times New Roman" w:cs="Times New Roman"/>
                <w:sz w:val="20"/>
                <w:szCs w:val="20"/>
              </w:rPr>
            </w:pPr>
            <w:r>
              <w:rPr>
                <w:rFonts w:ascii="Times New Roman" w:hAnsi="Times New Roman" w:cs="Times New Roman"/>
                <w:sz w:val="20"/>
                <w:szCs w:val="20"/>
              </w:rPr>
              <w:t>Conceptual</w:t>
            </w:r>
          </w:p>
        </w:tc>
        <w:tc>
          <w:tcPr>
            <w:tcW w:w="1939" w:type="dxa"/>
          </w:tcPr>
          <w:p w14:paraId="08E63E8F"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 xml:space="preserve">To assess the relationship and factors associated with cost-sharing and (1) medication adherence, (2) clinical outcomes, (3) health care resource </w:t>
            </w:r>
            <w:r w:rsidRPr="00F579A9">
              <w:rPr>
                <w:rFonts w:ascii="Times New Roman" w:hAnsi="Times New Roman" w:cs="Times New Roman"/>
                <w:sz w:val="20"/>
                <w:szCs w:val="20"/>
              </w:rPr>
              <w:lastRenderedPageBreak/>
              <w:t>utilization (HRU), and (4) costs.</w:t>
            </w:r>
          </w:p>
        </w:tc>
        <w:tc>
          <w:tcPr>
            <w:tcW w:w="1674" w:type="dxa"/>
          </w:tcPr>
          <w:p w14:paraId="03FAA1CF"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lastRenderedPageBreak/>
              <w:t>Qualitative systematic review</w:t>
            </w:r>
          </w:p>
        </w:tc>
        <w:tc>
          <w:tcPr>
            <w:tcW w:w="2422" w:type="dxa"/>
          </w:tcPr>
          <w:p w14:paraId="411E3BF8"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 xml:space="preserve">From 1,995 records screened, 79 articles were included. Most studies, 71 of 79 (90%), reported the relationship between cost-sharing and treatment adherence, persistence, </w:t>
            </w:r>
            <w:r w:rsidRPr="00F579A9">
              <w:rPr>
                <w:rFonts w:ascii="Times New Roman" w:hAnsi="Times New Roman" w:cs="Times New Roman"/>
                <w:sz w:val="20"/>
                <w:szCs w:val="20"/>
              </w:rPr>
              <w:lastRenderedPageBreak/>
              <w:t>and/or discontinuation; 16 (20%) reported data on cost-sharing and HRU or medication initiation, 11 (14%) on cost-sharing and health care costs, and 6 (8%) on cost-sharing and clinical outcomes.</w:t>
            </w:r>
          </w:p>
        </w:tc>
        <w:tc>
          <w:tcPr>
            <w:tcW w:w="1765" w:type="dxa"/>
          </w:tcPr>
          <w:p w14:paraId="3FEF74A8" w14:textId="21636E60" w:rsidR="00CF2D19" w:rsidRPr="00F579A9" w:rsidRDefault="005F096B" w:rsidP="00CF2D19">
            <w:pPr>
              <w:pStyle w:val="p1"/>
              <w:spacing w:after="200" w:line="240" w:lineRule="auto"/>
              <w:rPr>
                <w:rFonts w:ascii="Times New Roman" w:hAnsi="Times New Roman" w:cs="Times New Roman"/>
                <w:sz w:val="20"/>
                <w:szCs w:val="20"/>
              </w:rPr>
            </w:pPr>
            <w:r>
              <w:rPr>
                <w:rFonts w:ascii="Times New Roman" w:hAnsi="Times New Roman" w:cs="Times New Roman"/>
                <w:sz w:val="20"/>
                <w:szCs w:val="20"/>
              </w:rPr>
              <w:lastRenderedPageBreak/>
              <w:t>The published</w:t>
            </w:r>
            <w:r w:rsidR="00CF2D19" w:rsidRPr="00F579A9">
              <w:rPr>
                <w:rFonts w:ascii="Times New Roman" w:hAnsi="Times New Roman" w:cs="Times New Roman"/>
                <w:sz w:val="20"/>
                <w:szCs w:val="20"/>
              </w:rPr>
              <w:t xml:space="preserve"> literature shows a consistent impact of higher cost-sharing on medication </w:t>
            </w:r>
            <w:r w:rsidR="00CF2D19" w:rsidRPr="00F579A9">
              <w:rPr>
                <w:rFonts w:ascii="Times New Roman" w:hAnsi="Times New Roman" w:cs="Times New Roman"/>
                <w:sz w:val="20"/>
                <w:szCs w:val="20"/>
              </w:rPr>
              <w:lastRenderedPageBreak/>
              <w:t>initiation and continuation.</w:t>
            </w:r>
          </w:p>
        </w:tc>
        <w:tc>
          <w:tcPr>
            <w:tcW w:w="1555" w:type="dxa"/>
          </w:tcPr>
          <w:p w14:paraId="605B2985"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lastRenderedPageBreak/>
              <w:t>No</w:t>
            </w:r>
          </w:p>
        </w:tc>
      </w:tr>
      <w:tr w:rsidR="00235CA4" w:rsidRPr="00F579A9" w14:paraId="3E31F7FD" w14:textId="77777777" w:rsidTr="00CF2D19">
        <w:trPr>
          <w:trHeight w:val="400"/>
          <w:jc w:val="center"/>
        </w:trPr>
        <w:tc>
          <w:tcPr>
            <w:tcW w:w="1642" w:type="dxa"/>
          </w:tcPr>
          <w:p w14:paraId="627D66EE"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Gentili, A., Failla, G., Melnyk, A., Puleo, V., Tanna, G. L. D., Ricciardi, W., &amp; Cascini, F. (2022).</w:t>
            </w:r>
          </w:p>
          <w:p w14:paraId="7FE2A64D" w14:textId="77777777" w:rsidR="00CF2D19" w:rsidRPr="00F579A9" w:rsidRDefault="00CF2D19" w:rsidP="00CF2D19">
            <w:pPr>
              <w:spacing w:after="200"/>
              <w:ind w:hanging="2"/>
              <w:rPr>
                <w:rFonts w:ascii="Times New Roman" w:hAnsi="Times New Roman" w:cs="Times New Roman"/>
                <w:sz w:val="20"/>
                <w:szCs w:val="20"/>
              </w:rPr>
            </w:pPr>
          </w:p>
        </w:tc>
        <w:tc>
          <w:tcPr>
            <w:tcW w:w="1868" w:type="dxa"/>
          </w:tcPr>
          <w:p w14:paraId="3512E31E" w14:textId="0698728B" w:rsidR="00CF2D19" w:rsidRPr="00F579A9" w:rsidRDefault="000C09A5" w:rsidP="00CF2D19">
            <w:pPr>
              <w:spacing w:after="200"/>
              <w:ind w:hanging="2"/>
              <w:rPr>
                <w:rFonts w:ascii="Times New Roman" w:hAnsi="Times New Roman" w:cs="Times New Roman"/>
                <w:sz w:val="20"/>
                <w:szCs w:val="20"/>
              </w:rPr>
            </w:pPr>
            <w:r>
              <w:rPr>
                <w:rFonts w:ascii="Times New Roman" w:hAnsi="Times New Roman" w:cs="Times New Roman"/>
                <w:sz w:val="20"/>
                <w:szCs w:val="20"/>
              </w:rPr>
              <w:t>Conceptual</w:t>
            </w:r>
          </w:p>
        </w:tc>
        <w:tc>
          <w:tcPr>
            <w:tcW w:w="1939" w:type="dxa"/>
          </w:tcPr>
          <w:p w14:paraId="309FB537" w14:textId="77777777" w:rsidR="00CF2D19" w:rsidRPr="00F579A9" w:rsidRDefault="00CF2D19" w:rsidP="00CF2D19">
            <w:pPr>
              <w:spacing w:after="200"/>
              <w:rPr>
                <w:rFonts w:ascii="Times New Roman" w:hAnsi="Times New Roman" w:cs="Times New Roman"/>
                <w:sz w:val="20"/>
                <w:szCs w:val="20"/>
              </w:rPr>
            </w:pPr>
            <w:r w:rsidRPr="00F579A9">
              <w:rPr>
                <w:rFonts w:ascii="Times New Roman" w:hAnsi="Times New Roman" w:cs="Times New Roman"/>
                <w:sz w:val="20"/>
                <w:szCs w:val="20"/>
              </w:rPr>
              <w:t>The aim of this systematic review is to summarize the evidence on the cost-effectiveness of digital health interventions and to assess whether the studies meet the established quality criteria.</w:t>
            </w:r>
          </w:p>
        </w:tc>
        <w:tc>
          <w:tcPr>
            <w:tcW w:w="1674" w:type="dxa"/>
          </w:tcPr>
          <w:p w14:paraId="79F7C51C"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Qualitative systematic review</w:t>
            </w:r>
          </w:p>
        </w:tc>
        <w:tc>
          <w:tcPr>
            <w:tcW w:w="2422" w:type="dxa"/>
          </w:tcPr>
          <w:p w14:paraId="3151C3FA"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Search identified 1,476 results, 552 of which were selected for abstract, and 35 were included in this review. The studies were heterogeneous in terms of countries (mostly conducted in upper- and upper-middle-income countries), the type of eHealth intervention, the method of implementation, and the reporting perspective.</w:t>
            </w:r>
          </w:p>
        </w:tc>
        <w:tc>
          <w:tcPr>
            <w:tcW w:w="1765" w:type="dxa"/>
          </w:tcPr>
          <w:p w14:paraId="28D80A97"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Findings on the cost-effectiveness of digital interventions have grown, suggesting a generally favorable effect on both costs and health outcomes.</w:t>
            </w:r>
          </w:p>
        </w:tc>
        <w:tc>
          <w:tcPr>
            <w:tcW w:w="1555" w:type="dxa"/>
          </w:tcPr>
          <w:p w14:paraId="031B0240"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No</w:t>
            </w:r>
          </w:p>
        </w:tc>
      </w:tr>
      <w:tr w:rsidR="00235CA4" w:rsidRPr="00F579A9" w14:paraId="793A7DD9" w14:textId="77777777" w:rsidTr="00CF2D19">
        <w:trPr>
          <w:trHeight w:val="400"/>
          <w:jc w:val="center"/>
        </w:trPr>
        <w:tc>
          <w:tcPr>
            <w:tcW w:w="1642" w:type="dxa"/>
          </w:tcPr>
          <w:p w14:paraId="069B5A82" w14:textId="4A696D54" w:rsidR="00CF2D19" w:rsidRPr="008F02C4" w:rsidRDefault="00CF2D19" w:rsidP="00CF2D19">
            <w:pPr>
              <w:spacing w:after="200"/>
              <w:rPr>
                <w:rFonts w:ascii="Times New Roman" w:hAnsi="Times New Roman" w:cs="Times New Roman"/>
                <w:sz w:val="20"/>
                <w:szCs w:val="20"/>
                <w:lang w:val="es-ES"/>
              </w:rPr>
            </w:pPr>
            <w:r w:rsidRPr="008F02C4">
              <w:rPr>
                <w:rFonts w:ascii="Times New Roman" w:hAnsi="Times New Roman" w:cs="Times New Roman"/>
                <w:sz w:val="20"/>
                <w:szCs w:val="20"/>
                <w:lang w:val="es-ES"/>
              </w:rPr>
              <w:t xml:space="preserve">Gil-Guillén, V. F., Balsa, A., Bernárdez, B., Valdés y Llorca, C., Márquez-Contreras, E., de la Haba-Rodríguez, J., Castellano, J. M., </w:t>
            </w:r>
            <w:r w:rsidRPr="008F02C4">
              <w:rPr>
                <w:rFonts w:ascii="Times New Roman" w:hAnsi="Times New Roman" w:cs="Times New Roman"/>
                <w:sz w:val="20"/>
                <w:szCs w:val="20"/>
                <w:lang w:val="es-ES"/>
              </w:rPr>
              <w:lastRenderedPageBreak/>
              <w:t>&amp; Gómez-Martínez, J. (2022).</w:t>
            </w:r>
          </w:p>
        </w:tc>
        <w:tc>
          <w:tcPr>
            <w:tcW w:w="1868" w:type="dxa"/>
          </w:tcPr>
          <w:p w14:paraId="10EBD910" w14:textId="7CE4DEB5" w:rsidR="00CF2D19" w:rsidRPr="00F579A9" w:rsidRDefault="000C09A5" w:rsidP="00CF2D19">
            <w:pPr>
              <w:spacing w:after="200"/>
              <w:ind w:hanging="2"/>
              <w:rPr>
                <w:rFonts w:ascii="Times New Roman" w:hAnsi="Times New Roman" w:cs="Times New Roman"/>
                <w:sz w:val="20"/>
                <w:szCs w:val="20"/>
              </w:rPr>
            </w:pPr>
            <w:r>
              <w:rPr>
                <w:rFonts w:ascii="Times New Roman" w:hAnsi="Times New Roman" w:cs="Times New Roman"/>
                <w:sz w:val="20"/>
                <w:szCs w:val="20"/>
              </w:rPr>
              <w:lastRenderedPageBreak/>
              <w:t>Theoretical</w:t>
            </w:r>
          </w:p>
        </w:tc>
        <w:tc>
          <w:tcPr>
            <w:tcW w:w="1939" w:type="dxa"/>
          </w:tcPr>
          <w:p w14:paraId="42F2F841"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 xml:space="preserve">The objective of this project was to identify risk factors for non-adherence in rheumatology, oncology, and cardiology, and to examine potential interventions to </w:t>
            </w:r>
            <w:r w:rsidRPr="00F579A9">
              <w:rPr>
                <w:rFonts w:ascii="Times New Roman" w:hAnsi="Times New Roman" w:cs="Times New Roman"/>
                <w:sz w:val="20"/>
                <w:szCs w:val="20"/>
              </w:rPr>
              <w:lastRenderedPageBreak/>
              <w:t>improve adherence and their association with these risk factors.</w:t>
            </w:r>
          </w:p>
        </w:tc>
        <w:tc>
          <w:tcPr>
            <w:tcW w:w="1674" w:type="dxa"/>
          </w:tcPr>
          <w:p w14:paraId="7E2AAD5A"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lastRenderedPageBreak/>
              <w:t>Qualitative systematic review</w:t>
            </w:r>
          </w:p>
        </w:tc>
        <w:tc>
          <w:tcPr>
            <w:tcW w:w="2422" w:type="dxa"/>
          </w:tcPr>
          <w:p w14:paraId="46494A6F"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 xml:space="preserve">A total of 439 articles/reviews were found in databases. Once the selection and classification criteria were applied, the experts selected a total of 140 articles/reviews at the end of phase 1 (rheumatology: </w:t>
            </w:r>
            <w:r w:rsidRPr="00F579A9">
              <w:rPr>
                <w:rFonts w:ascii="Times New Roman" w:hAnsi="Times New Roman" w:cs="Times New Roman"/>
                <w:sz w:val="20"/>
                <w:szCs w:val="20"/>
              </w:rPr>
              <w:lastRenderedPageBreak/>
              <w:t>18, oncology: 25, cardiology: 10, and general: 87).</w:t>
            </w:r>
          </w:p>
        </w:tc>
        <w:tc>
          <w:tcPr>
            <w:tcW w:w="1765" w:type="dxa"/>
          </w:tcPr>
          <w:p w14:paraId="04B95E2B" w14:textId="77777777" w:rsidR="00CF2D19" w:rsidRPr="00F579A9" w:rsidRDefault="00CF2D19" w:rsidP="00CF2D19">
            <w:pPr>
              <w:pStyle w:val="p1"/>
              <w:spacing w:after="200" w:line="240" w:lineRule="auto"/>
              <w:rPr>
                <w:rFonts w:ascii="Times New Roman" w:hAnsi="Times New Roman" w:cs="Times New Roman"/>
                <w:sz w:val="20"/>
                <w:szCs w:val="20"/>
              </w:rPr>
            </w:pPr>
          </w:p>
        </w:tc>
        <w:tc>
          <w:tcPr>
            <w:tcW w:w="1555" w:type="dxa"/>
          </w:tcPr>
          <w:p w14:paraId="565E42EE" w14:textId="77777777" w:rsidR="00CF2D19" w:rsidRPr="00F579A9" w:rsidRDefault="00CF2D19" w:rsidP="00CF2D19">
            <w:pPr>
              <w:spacing w:after="200"/>
              <w:rPr>
                <w:rFonts w:ascii="Times New Roman" w:hAnsi="Times New Roman" w:cs="Times New Roman"/>
                <w:sz w:val="20"/>
                <w:szCs w:val="20"/>
              </w:rPr>
            </w:pPr>
            <w:r w:rsidRPr="00F579A9">
              <w:rPr>
                <w:rFonts w:ascii="Times New Roman" w:hAnsi="Times New Roman" w:cs="Times New Roman"/>
                <w:sz w:val="20"/>
                <w:szCs w:val="20"/>
              </w:rPr>
              <w:t>No</w:t>
            </w:r>
          </w:p>
        </w:tc>
      </w:tr>
      <w:tr w:rsidR="00235CA4" w:rsidRPr="00F579A9" w14:paraId="2FFCC810" w14:textId="77777777" w:rsidTr="00CF2D19">
        <w:trPr>
          <w:trHeight w:val="400"/>
          <w:jc w:val="center"/>
        </w:trPr>
        <w:tc>
          <w:tcPr>
            <w:tcW w:w="1642" w:type="dxa"/>
          </w:tcPr>
          <w:p w14:paraId="53FAE26B" w14:textId="77777777" w:rsidR="00CF2D19" w:rsidRPr="00F579A9" w:rsidRDefault="00CF2D19" w:rsidP="00CF2D19">
            <w:pPr>
              <w:spacing w:after="200"/>
              <w:ind w:hanging="2"/>
              <w:rPr>
                <w:rFonts w:ascii="Times New Roman" w:hAnsi="Times New Roman" w:cs="Times New Roman"/>
                <w:sz w:val="20"/>
                <w:szCs w:val="20"/>
              </w:rPr>
            </w:pPr>
            <w:r w:rsidRPr="008F02C4">
              <w:rPr>
                <w:rFonts w:ascii="Times New Roman" w:hAnsi="Times New Roman" w:cs="Times New Roman"/>
                <w:sz w:val="20"/>
                <w:szCs w:val="20"/>
                <w:lang w:val="fr-FR"/>
              </w:rPr>
              <w:t xml:space="preserve">Glasgow, R. E. et al. </w:t>
            </w:r>
            <w:r w:rsidRPr="00F579A9">
              <w:rPr>
                <w:rFonts w:ascii="Times New Roman" w:hAnsi="Times New Roman" w:cs="Times New Roman"/>
                <w:sz w:val="20"/>
                <w:szCs w:val="20"/>
              </w:rPr>
              <w:t>(2021).</w:t>
            </w:r>
          </w:p>
        </w:tc>
        <w:tc>
          <w:tcPr>
            <w:tcW w:w="1868" w:type="dxa"/>
          </w:tcPr>
          <w:p w14:paraId="5ACD14FC" w14:textId="30BBB867" w:rsidR="00CF2D19" w:rsidRPr="00F579A9" w:rsidRDefault="000C09A5" w:rsidP="00CF2D19">
            <w:pPr>
              <w:spacing w:after="200"/>
              <w:ind w:hanging="2"/>
              <w:rPr>
                <w:rFonts w:ascii="Times New Roman" w:hAnsi="Times New Roman" w:cs="Times New Roman"/>
                <w:sz w:val="20"/>
                <w:szCs w:val="20"/>
              </w:rPr>
            </w:pPr>
            <w:r>
              <w:rPr>
                <w:rFonts w:ascii="Times New Roman" w:hAnsi="Times New Roman" w:cs="Times New Roman"/>
                <w:sz w:val="20"/>
                <w:szCs w:val="20"/>
              </w:rPr>
              <w:t>Theoretical</w:t>
            </w:r>
          </w:p>
        </w:tc>
        <w:tc>
          <w:tcPr>
            <w:tcW w:w="1939" w:type="dxa"/>
          </w:tcPr>
          <w:p w14:paraId="08AAF9E4"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Nearly half of patients do not take their cardiovascular medications, resulting in increased mortality and healthcare costs.</w:t>
            </w:r>
          </w:p>
        </w:tc>
        <w:tc>
          <w:tcPr>
            <w:tcW w:w="1674" w:type="dxa"/>
          </w:tcPr>
          <w:p w14:paraId="22415A59"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Quantitative pilot study</w:t>
            </w:r>
          </w:p>
        </w:tc>
        <w:tc>
          <w:tcPr>
            <w:tcW w:w="2422" w:type="dxa"/>
          </w:tcPr>
          <w:p w14:paraId="4033DCDA"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The primary effectiveness outcome is medication adherence, defined by the proportion of days covered (PDC) using pharmacy refill data.</w:t>
            </w:r>
          </w:p>
        </w:tc>
        <w:tc>
          <w:tcPr>
            <w:tcW w:w="1765" w:type="dxa"/>
          </w:tcPr>
          <w:p w14:paraId="20AC6CD7"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N/A (Pilot study)</w:t>
            </w:r>
          </w:p>
        </w:tc>
        <w:tc>
          <w:tcPr>
            <w:tcW w:w="1555" w:type="dxa"/>
          </w:tcPr>
          <w:p w14:paraId="11D83F30"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Yes</w:t>
            </w:r>
          </w:p>
        </w:tc>
      </w:tr>
      <w:tr w:rsidR="00235CA4" w:rsidRPr="00F579A9" w14:paraId="446B19D3" w14:textId="77777777" w:rsidTr="00CF2D19">
        <w:trPr>
          <w:trHeight w:val="400"/>
          <w:jc w:val="center"/>
        </w:trPr>
        <w:tc>
          <w:tcPr>
            <w:tcW w:w="1642" w:type="dxa"/>
          </w:tcPr>
          <w:p w14:paraId="0F93ED6D"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Gohil, S., Majd, Z., Sheneman, J. C., &amp; Abughosh, S. M. (2022).</w:t>
            </w:r>
          </w:p>
        </w:tc>
        <w:tc>
          <w:tcPr>
            <w:tcW w:w="1868" w:type="dxa"/>
          </w:tcPr>
          <w:p w14:paraId="39081962" w14:textId="26A12386" w:rsidR="00CF2D19" w:rsidRPr="00F579A9" w:rsidRDefault="000C09A5" w:rsidP="00CF2D19">
            <w:pPr>
              <w:spacing w:after="200"/>
              <w:ind w:hanging="2"/>
              <w:rPr>
                <w:rFonts w:ascii="Times New Roman" w:hAnsi="Times New Roman" w:cs="Times New Roman"/>
                <w:sz w:val="20"/>
                <w:szCs w:val="20"/>
              </w:rPr>
            </w:pPr>
            <w:r>
              <w:rPr>
                <w:rFonts w:ascii="Times New Roman" w:hAnsi="Times New Roman" w:cs="Times New Roman"/>
                <w:sz w:val="20"/>
                <w:szCs w:val="20"/>
              </w:rPr>
              <w:t>Theoretical</w:t>
            </w:r>
          </w:p>
        </w:tc>
        <w:tc>
          <w:tcPr>
            <w:tcW w:w="1939" w:type="dxa"/>
          </w:tcPr>
          <w:p w14:paraId="49096673" w14:textId="49940070"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To summarize existing literature examining interventions to enhance medication adherence effectiveness in enhancing care for disease (IBD) patients.</w:t>
            </w:r>
          </w:p>
        </w:tc>
        <w:tc>
          <w:tcPr>
            <w:tcW w:w="1674" w:type="dxa"/>
          </w:tcPr>
          <w:p w14:paraId="08AC2E69"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Qualitative systematic review</w:t>
            </w:r>
          </w:p>
        </w:tc>
        <w:tc>
          <w:tcPr>
            <w:tcW w:w="2422" w:type="dxa"/>
          </w:tcPr>
          <w:p w14:paraId="507D2372"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Our systematic literature search identified 488 published articles. Seventeen studies, involving a total of 7,073 patients, were included.</w:t>
            </w:r>
          </w:p>
        </w:tc>
        <w:tc>
          <w:tcPr>
            <w:tcW w:w="1765" w:type="dxa"/>
          </w:tcPr>
          <w:p w14:paraId="6BC5BA2F"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Multicomponent interventions have demonstrated the greatest success in promoting medication adherence among IBD patients.</w:t>
            </w:r>
          </w:p>
        </w:tc>
        <w:tc>
          <w:tcPr>
            <w:tcW w:w="1555" w:type="dxa"/>
          </w:tcPr>
          <w:p w14:paraId="1B847AE3"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No</w:t>
            </w:r>
          </w:p>
        </w:tc>
      </w:tr>
      <w:tr w:rsidR="00235CA4" w:rsidRPr="00F579A9" w14:paraId="1676AA22" w14:textId="77777777" w:rsidTr="00CF2D19">
        <w:trPr>
          <w:trHeight w:val="400"/>
          <w:jc w:val="center"/>
        </w:trPr>
        <w:tc>
          <w:tcPr>
            <w:tcW w:w="1642" w:type="dxa"/>
          </w:tcPr>
          <w:p w14:paraId="5BCA98CE" w14:textId="77777777" w:rsidR="00CF2D19" w:rsidRPr="00F579A9" w:rsidRDefault="00CF2D19" w:rsidP="00CF2D19">
            <w:pPr>
              <w:spacing w:after="200"/>
              <w:ind w:hanging="2"/>
              <w:rPr>
                <w:rFonts w:ascii="Times New Roman" w:hAnsi="Times New Roman" w:cs="Times New Roman"/>
                <w:sz w:val="20"/>
                <w:szCs w:val="20"/>
              </w:rPr>
            </w:pPr>
            <w:r w:rsidRPr="008F02C4">
              <w:rPr>
                <w:rFonts w:ascii="Times New Roman" w:hAnsi="Times New Roman" w:cs="Times New Roman"/>
                <w:sz w:val="20"/>
                <w:szCs w:val="20"/>
                <w:lang w:val="es-ES"/>
              </w:rPr>
              <w:t xml:space="preserve">González de León et al. </w:t>
            </w:r>
            <w:r w:rsidRPr="00F579A9">
              <w:rPr>
                <w:rFonts w:ascii="Times New Roman" w:hAnsi="Times New Roman" w:cs="Times New Roman"/>
                <w:sz w:val="20"/>
                <w:szCs w:val="20"/>
              </w:rPr>
              <w:t>(2022).</w:t>
            </w:r>
          </w:p>
        </w:tc>
        <w:tc>
          <w:tcPr>
            <w:tcW w:w="1868" w:type="dxa"/>
          </w:tcPr>
          <w:p w14:paraId="0654F8EC" w14:textId="666B53AA" w:rsidR="00CF2D19" w:rsidRPr="00F579A9" w:rsidRDefault="000C09A5" w:rsidP="00CF2D19">
            <w:pPr>
              <w:spacing w:after="200"/>
              <w:ind w:hanging="2"/>
              <w:rPr>
                <w:rFonts w:ascii="Times New Roman" w:hAnsi="Times New Roman" w:cs="Times New Roman"/>
                <w:sz w:val="20"/>
                <w:szCs w:val="20"/>
              </w:rPr>
            </w:pPr>
            <w:r>
              <w:rPr>
                <w:rFonts w:ascii="Times New Roman" w:hAnsi="Times New Roman" w:cs="Times New Roman"/>
                <w:sz w:val="20"/>
                <w:szCs w:val="20"/>
              </w:rPr>
              <w:t>Conceptual</w:t>
            </w:r>
          </w:p>
        </w:tc>
        <w:tc>
          <w:tcPr>
            <w:tcW w:w="1939" w:type="dxa"/>
          </w:tcPr>
          <w:p w14:paraId="04DE204C"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Non-adherence to medication is a major obstacle in the treatment of depressive disorders.</w:t>
            </w:r>
          </w:p>
        </w:tc>
        <w:tc>
          <w:tcPr>
            <w:tcW w:w="1674" w:type="dxa"/>
          </w:tcPr>
          <w:p w14:paraId="5889BDAD"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Quantitative meta-analysis</w:t>
            </w:r>
          </w:p>
        </w:tc>
        <w:tc>
          <w:tcPr>
            <w:tcW w:w="2422" w:type="dxa"/>
          </w:tcPr>
          <w:p w14:paraId="373E8D49"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Forty-six trials (</w:t>
            </w:r>
            <w:r w:rsidRPr="00F579A9">
              <w:rPr>
                <w:rFonts w:ascii="Times New Roman" w:hAnsi="Times New Roman" w:cs="Times New Roman"/>
                <w:i/>
                <w:iCs/>
                <w:sz w:val="20"/>
                <w:szCs w:val="20"/>
              </w:rPr>
              <w:t>n</w:t>
            </w:r>
            <w:r w:rsidRPr="00F579A9">
              <w:rPr>
                <w:rFonts w:ascii="Times New Roman" w:hAnsi="Times New Roman" w:cs="Times New Roman"/>
                <w:sz w:val="20"/>
                <w:szCs w:val="20"/>
              </w:rPr>
              <w:t> = 24,324) were included. Pooled estimate indicates an increase in the probability of adherence to antidepressants at 6 months with the different types of interventions.</w:t>
            </w:r>
          </w:p>
        </w:tc>
        <w:tc>
          <w:tcPr>
            <w:tcW w:w="1765" w:type="dxa"/>
          </w:tcPr>
          <w:p w14:paraId="6521DB55" w14:textId="77777777" w:rsidR="00CF2D1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Our findings indicate that interventions aimed at improving adherence to medication among adults with depressive disorders.</w:t>
            </w:r>
          </w:p>
          <w:p w14:paraId="75BEF186" w14:textId="77777777" w:rsidR="00CF2D19" w:rsidRPr="00F579A9" w:rsidRDefault="00CF2D19" w:rsidP="00CF2D19">
            <w:pPr>
              <w:pStyle w:val="p1"/>
              <w:spacing w:after="200" w:line="240" w:lineRule="auto"/>
              <w:rPr>
                <w:rFonts w:ascii="Times New Roman" w:hAnsi="Times New Roman" w:cs="Times New Roman"/>
                <w:sz w:val="20"/>
                <w:szCs w:val="20"/>
              </w:rPr>
            </w:pPr>
          </w:p>
        </w:tc>
        <w:tc>
          <w:tcPr>
            <w:tcW w:w="1555" w:type="dxa"/>
          </w:tcPr>
          <w:p w14:paraId="394490E0"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Yes</w:t>
            </w:r>
          </w:p>
        </w:tc>
      </w:tr>
      <w:tr w:rsidR="00235CA4" w:rsidRPr="00F579A9" w14:paraId="3AA1FA34" w14:textId="77777777" w:rsidTr="00CF2D19">
        <w:trPr>
          <w:trHeight w:val="400"/>
          <w:jc w:val="center"/>
        </w:trPr>
        <w:tc>
          <w:tcPr>
            <w:tcW w:w="1642" w:type="dxa"/>
          </w:tcPr>
          <w:p w14:paraId="61699C23" w14:textId="77777777" w:rsidR="00CF2D19" w:rsidRPr="00F579A9" w:rsidRDefault="00CF2D19" w:rsidP="00CF2D19">
            <w:pPr>
              <w:spacing w:after="200"/>
              <w:rPr>
                <w:rFonts w:ascii="Times New Roman" w:hAnsi="Times New Roman" w:cs="Times New Roman"/>
                <w:sz w:val="20"/>
                <w:szCs w:val="20"/>
              </w:rPr>
            </w:pPr>
            <w:r w:rsidRPr="00F579A9">
              <w:rPr>
                <w:rFonts w:ascii="Times New Roman" w:hAnsi="Times New Roman" w:cs="Times New Roman"/>
                <w:sz w:val="20"/>
                <w:szCs w:val="20"/>
              </w:rPr>
              <w:lastRenderedPageBreak/>
              <w:t>Gunter, Z., Lawson, N., &amp; Bondarenka, C. (2022).</w:t>
            </w:r>
          </w:p>
        </w:tc>
        <w:tc>
          <w:tcPr>
            <w:tcW w:w="1868" w:type="dxa"/>
          </w:tcPr>
          <w:p w14:paraId="2B97D6FD" w14:textId="787820DC" w:rsidR="00CF2D19" w:rsidRPr="00F579A9" w:rsidRDefault="000C09A5" w:rsidP="00CF2D19">
            <w:pPr>
              <w:spacing w:after="200"/>
              <w:rPr>
                <w:rFonts w:ascii="Times New Roman" w:hAnsi="Times New Roman" w:cs="Times New Roman"/>
                <w:sz w:val="20"/>
                <w:szCs w:val="20"/>
              </w:rPr>
            </w:pPr>
            <w:r>
              <w:rPr>
                <w:rFonts w:ascii="Times New Roman" w:hAnsi="Times New Roman" w:cs="Times New Roman"/>
                <w:sz w:val="20"/>
                <w:szCs w:val="20"/>
              </w:rPr>
              <w:t>Conceptual</w:t>
            </w:r>
          </w:p>
        </w:tc>
        <w:tc>
          <w:tcPr>
            <w:tcW w:w="1939" w:type="dxa"/>
          </w:tcPr>
          <w:p w14:paraId="7B1F6D71"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The primary objective of this study was to evaluate the impact of dose-tracking software on the number of inpatient pharmacies that redispensed medications.</w:t>
            </w:r>
          </w:p>
        </w:tc>
        <w:tc>
          <w:tcPr>
            <w:tcW w:w="1674" w:type="dxa"/>
          </w:tcPr>
          <w:p w14:paraId="7FB67777" w14:textId="77777777" w:rsidR="00CF2D19" w:rsidRPr="008F02C4" w:rsidRDefault="00CF2D19" w:rsidP="00CF2D19">
            <w:pPr>
              <w:pStyle w:val="p1"/>
              <w:spacing w:after="200" w:line="240" w:lineRule="auto"/>
              <w:rPr>
                <w:rFonts w:ascii="Times New Roman" w:hAnsi="Times New Roman" w:cs="Times New Roman"/>
                <w:sz w:val="20"/>
                <w:szCs w:val="20"/>
                <w:lang w:val="fr-FR"/>
              </w:rPr>
            </w:pPr>
            <w:r w:rsidRPr="008F02C4">
              <w:rPr>
                <w:rFonts w:ascii="Times New Roman" w:hAnsi="Times New Roman" w:cs="Times New Roman"/>
                <w:sz w:val="20"/>
                <w:szCs w:val="20"/>
                <w:lang w:val="fr-FR"/>
              </w:rPr>
              <w:t>Quantitative prospective, pre-post implementation</w:t>
            </w:r>
          </w:p>
        </w:tc>
        <w:tc>
          <w:tcPr>
            <w:tcW w:w="2422" w:type="dxa"/>
          </w:tcPr>
          <w:p w14:paraId="16121455"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During the preimplementation period, 40,021 injectable doses were dispensed, and 9841 (24.6%) were documented as redispensed doses.</w:t>
            </w:r>
          </w:p>
        </w:tc>
        <w:tc>
          <w:tcPr>
            <w:tcW w:w="1765" w:type="dxa"/>
          </w:tcPr>
          <w:p w14:paraId="4EA2BD58"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The implementation of dose-tracking software resulted in a decrease in the percentage of redispensed injectable medications.</w:t>
            </w:r>
          </w:p>
        </w:tc>
        <w:tc>
          <w:tcPr>
            <w:tcW w:w="1555" w:type="dxa"/>
          </w:tcPr>
          <w:p w14:paraId="5446C936" w14:textId="77777777" w:rsidR="00CF2D19" w:rsidRPr="00F579A9" w:rsidRDefault="00CF2D19" w:rsidP="00CF2D19">
            <w:pPr>
              <w:spacing w:after="200"/>
              <w:rPr>
                <w:rFonts w:ascii="Times New Roman" w:hAnsi="Times New Roman" w:cs="Times New Roman"/>
                <w:sz w:val="20"/>
                <w:szCs w:val="20"/>
              </w:rPr>
            </w:pPr>
            <w:r w:rsidRPr="00F579A9">
              <w:rPr>
                <w:rFonts w:ascii="Times New Roman" w:hAnsi="Times New Roman" w:cs="Times New Roman"/>
                <w:sz w:val="20"/>
                <w:szCs w:val="20"/>
              </w:rPr>
              <w:t>Yes</w:t>
            </w:r>
          </w:p>
        </w:tc>
      </w:tr>
      <w:tr w:rsidR="00235CA4" w:rsidRPr="00F579A9" w14:paraId="48580AB2" w14:textId="77777777" w:rsidTr="00CF2D19">
        <w:trPr>
          <w:trHeight w:val="400"/>
          <w:jc w:val="center"/>
        </w:trPr>
        <w:tc>
          <w:tcPr>
            <w:tcW w:w="1642" w:type="dxa"/>
          </w:tcPr>
          <w:p w14:paraId="730871B5"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Hamad, M. M. E., &amp; Bah, S. (2022).</w:t>
            </w:r>
          </w:p>
        </w:tc>
        <w:tc>
          <w:tcPr>
            <w:tcW w:w="1868" w:type="dxa"/>
          </w:tcPr>
          <w:p w14:paraId="25FF1E46" w14:textId="55260904" w:rsidR="00CF2D19" w:rsidRPr="00F579A9" w:rsidRDefault="00D163A3" w:rsidP="00CF2D19">
            <w:pPr>
              <w:spacing w:after="200"/>
              <w:ind w:hanging="2"/>
              <w:rPr>
                <w:rFonts w:ascii="Times New Roman" w:hAnsi="Times New Roman" w:cs="Times New Roman"/>
                <w:sz w:val="20"/>
                <w:szCs w:val="20"/>
              </w:rPr>
            </w:pPr>
            <w:r>
              <w:rPr>
                <w:rFonts w:ascii="Times New Roman" w:hAnsi="Times New Roman" w:cs="Times New Roman"/>
                <w:sz w:val="20"/>
                <w:szCs w:val="20"/>
              </w:rPr>
              <w:t>Theoretical</w:t>
            </w:r>
          </w:p>
        </w:tc>
        <w:tc>
          <w:tcPr>
            <w:tcW w:w="1939" w:type="dxa"/>
          </w:tcPr>
          <w:p w14:paraId="47391E19"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To examine the effect of adopting EHRs on medication errors at the Royal Commission Hospital in Jubail, Saudi Arabia, a stage 6 hospital.</w:t>
            </w:r>
          </w:p>
        </w:tc>
        <w:tc>
          <w:tcPr>
            <w:tcW w:w="1674" w:type="dxa"/>
          </w:tcPr>
          <w:p w14:paraId="75448789"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Quantitative quasi-experimental time-series design</w:t>
            </w:r>
          </w:p>
        </w:tc>
        <w:tc>
          <w:tcPr>
            <w:tcW w:w="2422" w:type="dxa"/>
          </w:tcPr>
          <w:p w14:paraId="61108688"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The median number of medication orders per patient decreased significantly, from 22.76 before EHR implementation to 18.76 after implementation (</w:t>
            </w:r>
            <w:r w:rsidRPr="00F579A9">
              <w:rPr>
                <w:rFonts w:ascii="Times New Roman" w:hAnsi="Times New Roman" w:cs="Times New Roman"/>
                <w:i/>
                <w:iCs/>
                <w:sz w:val="20"/>
                <w:szCs w:val="20"/>
              </w:rPr>
              <w:t>p</w:t>
            </w:r>
            <w:r w:rsidRPr="00F579A9">
              <w:rPr>
                <w:rFonts w:ascii="Times New Roman" w:hAnsi="Times New Roman" w:cs="Times New Roman"/>
                <w:sz w:val="20"/>
                <w:szCs w:val="20"/>
              </w:rPr>
              <w:t> &lt; 0.001).</w:t>
            </w:r>
          </w:p>
        </w:tc>
        <w:tc>
          <w:tcPr>
            <w:tcW w:w="1765" w:type="dxa"/>
          </w:tcPr>
          <w:p w14:paraId="520601AC"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Contrary to expectations, this study found that an HIMSS Stage 6 hospital could experience an increase in medication errors following the implementation of EHRs.</w:t>
            </w:r>
          </w:p>
        </w:tc>
        <w:tc>
          <w:tcPr>
            <w:tcW w:w="1555" w:type="dxa"/>
          </w:tcPr>
          <w:p w14:paraId="4B7AFD66" w14:textId="170151A0" w:rsidR="00CF2D19" w:rsidRPr="00F579A9" w:rsidRDefault="00782AF1" w:rsidP="00CF2D19">
            <w:pPr>
              <w:spacing w:after="200"/>
              <w:ind w:hanging="2"/>
              <w:rPr>
                <w:rFonts w:ascii="Times New Roman" w:hAnsi="Times New Roman" w:cs="Times New Roman"/>
                <w:sz w:val="20"/>
                <w:szCs w:val="20"/>
              </w:rPr>
            </w:pPr>
            <w:r>
              <w:rPr>
                <w:rFonts w:ascii="Times New Roman" w:hAnsi="Times New Roman" w:cs="Times New Roman"/>
                <w:sz w:val="20"/>
                <w:szCs w:val="20"/>
              </w:rPr>
              <w:t>Yes</w:t>
            </w:r>
          </w:p>
        </w:tc>
      </w:tr>
      <w:tr w:rsidR="00235CA4" w:rsidRPr="00F579A9" w14:paraId="57A85D95" w14:textId="77777777" w:rsidTr="00CF2D19">
        <w:trPr>
          <w:trHeight w:val="400"/>
          <w:jc w:val="center"/>
        </w:trPr>
        <w:tc>
          <w:tcPr>
            <w:tcW w:w="1642" w:type="dxa"/>
          </w:tcPr>
          <w:p w14:paraId="749F23EE"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Herrick, C. J., Humble, S., Hollar, L., Chang, S. H., Hunleth, J., McQueen, A., &amp; James, A. S. (2021).</w:t>
            </w:r>
          </w:p>
        </w:tc>
        <w:tc>
          <w:tcPr>
            <w:tcW w:w="1868" w:type="dxa"/>
          </w:tcPr>
          <w:p w14:paraId="1832566D" w14:textId="3E337294" w:rsidR="00CF2D19" w:rsidRPr="00F579A9" w:rsidRDefault="00D163A3" w:rsidP="00CF2D19">
            <w:pPr>
              <w:spacing w:after="200"/>
              <w:ind w:hanging="2"/>
              <w:rPr>
                <w:rFonts w:ascii="Times New Roman" w:hAnsi="Times New Roman" w:cs="Times New Roman"/>
                <w:sz w:val="20"/>
                <w:szCs w:val="20"/>
              </w:rPr>
            </w:pPr>
            <w:r>
              <w:rPr>
                <w:rFonts w:ascii="Times New Roman" w:hAnsi="Times New Roman" w:cs="Times New Roman"/>
                <w:sz w:val="20"/>
                <w:szCs w:val="20"/>
              </w:rPr>
              <w:t>Conceptual</w:t>
            </w:r>
            <w:r w:rsidR="00CF2D19" w:rsidRPr="00F579A9">
              <w:rPr>
                <w:rFonts w:ascii="Times New Roman" w:hAnsi="Times New Roman" w:cs="Times New Roman"/>
                <w:sz w:val="20"/>
                <w:szCs w:val="20"/>
              </w:rPr>
              <w:t xml:space="preserve"> </w:t>
            </w:r>
          </w:p>
        </w:tc>
        <w:tc>
          <w:tcPr>
            <w:tcW w:w="1939" w:type="dxa"/>
          </w:tcPr>
          <w:p w14:paraId="5E2A5BE7"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 xml:space="preserve">Patients with chronic conditions, particularly diabetes mellitus, are at high risk for cost-related medication non-adherence. asking for samples has been documented among patients with chronic </w:t>
            </w:r>
            <w:r w:rsidRPr="00F579A9">
              <w:rPr>
                <w:rFonts w:ascii="Times New Roman" w:hAnsi="Times New Roman" w:cs="Times New Roman"/>
                <w:sz w:val="20"/>
                <w:szCs w:val="20"/>
              </w:rPr>
              <w:lastRenderedPageBreak/>
              <w:t>diseases.</w:t>
            </w:r>
            <w:hyperlink r:id="rId107" w:anchor="ref-CR1" w:tooltip="Cohen RA, Cha AE. Strategies Used by Adults With Diagnosed Diabetes to Reduce Their Prescription Drug Costs, 2017-2018. NCHS Data Brief. 2019; 349:1-8." w:history="1">
              <w:r w:rsidRPr="00F579A9">
                <w:rPr>
                  <w:rStyle w:val="Hyperlink"/>
                  <w:rFonts w:ascii="Times New Roman" w:hAnsi="Times New Roman"/>
                  <w:sz w:val="20"/>
                  <w:szCs w:val="20"/>
                  <w:vertAlign w:val="superscript"/>
                </w:rPr>
                <w:t>1</w:t>
              </w:r>
            </w:hyperlink>
            <w:r w:rsidRPr="00F579A9">
              <w:rPr>
                <w:rFonts w:ascii="Times New Roman" w:hAnsi="Times New Roman" w:cs="Times New Roman"/>
                <w:sz w:val="20"/>
                <w:szCs w:val="20"/>
                <w:vertAlign w:val="superscript"/>
              </w:rPr>
              <w:t>, </w:t>
            </w:r>
            <w:hyperlink r:id="rId108" w:anchor="ref-CR3" w:tooltip="Reed M, Brand R, Newhouse JP, Selby JV, Hsu J. Coping with prescription drug cost sharing: knowledge, adherence, and financial burden. Health Serv Res. 2008; 43(2):785-97." w:history="1">
              <w:r w:rsidRPr="00F579A9">
                <w:rPr>
                  <w:rStyle w:val="Hyperlink"/>
                  <w:rFonts w:ascii="Times New Roman" w:hAnsi="Times New Roman"/>
                  <w:sz w:val="20"/>
                  <w:szCs w:val="20"/>
                  <w:vertAlign w:val="superscript"/>
                </w:rPr>
                <w:t>3</w:t>
              </w:r>
            </w:hyperlink>
            <w:r w:rsidRPr="00F579A9">
              <w:rPr>
                <w:rFonts w:ascii="Times New Roman" w:hAnsi="Times New Roman" w:cs="Times New Roman"/>
                <w:sz w:val="20"/>
                <w:szCs w:val="20"/>
              </w:rPr>
              <w:t> Some of these</w:t>
            </w:r>
          </w:p>
        </w:tc>
        <w:tc>
          <w:tcPr>
            <w:tcW w:w="1674" w:type="dxa"/>
          </w:tcPr>
          <w:p w14:paraId="1A1491A0"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lastRenderedPageBreak/>
              <w:t>Quantitative correlational</w:t>
            </w:r>
          </w:p>
        </w:tc>
        <w:tc>
          <w:tcPr>
            <w:tcW w:w="2422" w:type="dxa"/>
          </w:tcPr>
          <w:p w14:paraId="22235F66"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There were no statistically significant differences between participants with and without diabetes on sex, race/ethnicity, or marital status, but those with diabetes were older than individuals without diabetes.</w:t>
            </w:r>
          </w:p>
        </w:tc>
        <w:tc>
          <w:tcPr>
            <w:tcW w:w="1765" w:type="dxa"/>
          </w:tcPr>
          <w:p w14:paraId="420F8F57" w14:textId="67E14837" w:rsidR="00CF2D19" w:rsidRPr="00F579A9" w:rsidRDefault="00B166C2" w:rsidP="00CF2D19">
            <w:pPr>
              <w:pStyle w:val="p1"/>
              <w:spacing w:after="200" w:line="240" w:lineRule="auto"/>
              <w:rPr>
                <w:rFonts w:ascii="Times New Roman" w:hAnsi="Times New Roman" w:cs="Times New Roman"/>
                <w:sz w:val="20"/>
                <w:szCs w:val="20"/>
              </w:rPr>
            </w:pPr>
            <w:r w:rsidRPr="00B166C2">
              <w:rPr>
                <w:rFonts w:ascii="Times New Roman" w:hAnsi="Times New Roman" w:cs="Times New Roman"/>
                <w:sz w:val="20"/>
                <w:szCs w:val="20"/>
              </w:rPr>
              <w:t>Patients with chronic conditions, particularly diabetes mellitus, are at high risk for cost-related medication non-adherenc</w:t>
            </w:r>
            <w:r>
              <w:rPr>
                <w:rFonts w:ascii="Times New Roman" w:hAnsi="Times New Roman" w:cs="Times New Roman"/>
                <w:sz w:val="20"/>
                <w:szCs w:val="20"/>
              </w:rPr>
              <w:t>e.</w:t>
            </w:r>
          </w:p>
        </w:tc>
        <w:tc>
          <w:tcPr>
            <w:tcW w:w="1555" w:type="dxa"/>
          </w:tcPr>
          <w:p w14:paraId="69FADACA"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Yes</w:t>
            </w:r>
          </w:p>
        </w:tc>
      </w:tr>
      <w:tr w:rsidR="00235CA4" w:rsidRPr="00F579A9" w14:paraId="7BEB93CC" w14:textId="77777777" w:rsidTr="00CF2D19">
        <w:trPr>
          <w:trHeight w:val="400"/>
          <w:jc w:val="center"/>
        </w:trPr>
        <w:tc>
          <w:tcPr>
            <w:tcW w:w="1642" w:type="dxa"/>
          </w:tcPr>
          <w:p w14:paraId="711B140A"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Imeri, H., Toth, J., Arnold, A., &amp; Barnard, M. (2022).</w:t>
            </w:r>
          </w:p>
        </w:tc>
        <w:tc>
          <w:tcPr>
            <w:tcW w:w="1868" w:type="dxa"/>
          </w:tcPr>
          <w:p w14:paraId="36DCA797" w14:textId="25EA4CED" w:rsidR="00CF2D19" w:rsidRPr="00F579A9" w:rsidRDefault="00D163A3" w:rsidP="00CF2D19">
            <w:pPr>
              <w:spacing w:after="200"/>
              <w:ind w:hanging="2"/>
              <w:rPr>
                <w:rFonts w:ascii="Times New Roman" w:hAnsi="Times New Roman" w:cs="Times New Roman"/>
                <w:sz w:val="20"/>
                <w:szCs w:val="20"/>
              </w:rPr>
            </w:pPr>
            <w:r>
              <w:rPr>
                <w:rFonts w:ascii="Times New Roman" w:hAnsi="Times New Roman" w:cs="Times New Roman"/>
                <w:sz w:val="20"/>
                <w:szCs w:val="20"/>
              </w:rPr>
              <w:t>Theoretical</w:t>
            </w:r>
          </w:p>
        </w:tc>
        <w:tc>
          <w:tcPr>
            <w:tcW w:w="1939" w:type="dxa"/>
          </w:tcPr>
          <w:p w14:paraId="4A160B52"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The objective of this systematic review was to determine the utilization of the TTM to predict or improve medication adherence in patients with chronic conditions.</w:t>
            </w:r>
          </w:p>
        </w:tc>
        <w:tc>
          <w:tcPr>
            <w:tcW w:w="1674" w:type="dxa"/>
          </w:tcPr>
          <w:p w14:paraId="4ABD1CDC"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Qualitative systematic review</w:t>
            </w:r>
          </w:p>
        </w:tc>
        <w:tc>
          <w:tcPr>
            <w:tcW w:w="2422" w:type="dxa"/>
          </w:tcPr>
          <w:p w14:paraId="5408F61E"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Ten studies were included in the final data synthesis of this review. Eight of the reviewed studies supported the utility of TTM for predicting or improving medication adherence in patients with chronic conditions, while two found no significant improvement in medication adherence after a TTM-based intervention.</w:t>
            </w:r>
          </w:p>
        </w:tc>
        <w:tc>
          <w:tcPr>
            <w:tcW w:w="1765" w:type="dxa"/>
          </w:tcPr>
          <w:p w14:paraId="76D6C0B3"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This systematic review provides an overview of the utility of TTM in predicting and improving medication adherence in patients with chronic conditions.</w:t>
            </w:r>
          </w:p>
        </w:tc>
        <w:tc>
          <w:tcPr>
            <w:tcW w:w="1555" w:type="dxa"/>
          </w:tcPr>
          <w:p w14:paraId="27AB9122"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No</w:t>
            </w:r>
          </w:p>
        </w:tc>
      </w:tr>
      <w:tr w:rsidR="00235CA4" w:rsidRPr="00F579A9" w14:paraId="7195496D" w14:textId="77777777" w:rsidTr="00CF2D19">
        <w:trPr>
          <w:trHeight w:val="400"/>
          <w:jc w:val="center"/>
        </w:trPr>
        <w:tc>
          <w:tcPr>
            <w:tcW w:w="1642" w:type="dxa"/>
          </w:tcPr>
          <w:p w14:paraId="17920022"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Insani, W. N., Zakiyah, N., Puspitasari, I. M., Permana, M. Y., Parmikanti, K., Rusyaman, E., &amp; Suwantika, A. A. (2025).</w:t>
            </w:r>
          </w:p>
        </w:tc>
        <w:tc>
          <w:tcPr>
            <w:tcW w:w="1868" w:type="dxa"/>
          </w:tcPr>
          <w:p w14:paraId="571BD81D" w14:textId="334FD87B"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 xml:space="preserve"> </w:t>
            </w:r>
            <w:r w:rsidR="00D163A3">
              <w:rPr>
                <w:rFonts w:ascii="Times New Roman" w:hAnsi="Times New Roman" w:cs="Times New Roman"/>
                <w:sz w:val="20"/>
                <w:szCs w:val="20"/>
              </w:rPr>
              <w:t>Theoretical</w:t>
            </w:r>
          </w:p>
        </w:tc>
        <w:tc>
          <w:tcPr>
            <w:tcW w:w="1939" w:type="dxa"/>
          </w:tcPr>
          <w:p w14:paraId="623EC07A"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This study aimed to systematically review the economic impact of DHT interventions on medication safety and to examine methodological challenges, thereby informing future research directions.</w:t>
            </w:r>
          </w:p>
        </w:tc>
        <w:tc>
          <w:tcPr>
            <w:tcW w:w="1674" w:type="dxa"/>
          </w:tcPr>
          <w:p w14:paraId="1C6AF066"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Qualitative systematic review</w:t>
            </w:r>
          </w:p>
        </w:tc>
        <w:tc>
          <w:tcPr>
            <w:tcW w:w="2422" w:type="dxa"/>
          </w:tcPr>
          <w:p w14:paraId="4D9537FE"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We included 13 studies that assessed the cost-effectiveness (n = 9, 69.2%), cost-benefit (n = 3, 23.1%), and cost-utility (n = 1, 7.7%) of DHT for improving medication safety.</w:t>
            </w:r>
          </w:p>
        </w:tc>
        <w:tc>
          <w:tcPr>
            <w:tcW w:w="1765" w:type="dxa"/>
          </w:tcPr>
          <w:p w14:paraId="7091FB4A"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DHT interventions are economically viable to improve medication safety, with a substantial reduction in ADEs and medication errors.</w:t>
            </w:r>
          </w:p>
        </w:tc>
        <w:tc>
          <w:tcPr>
            <w:tcW w:w="1555" w:type="dxa"/>
          </w:tcPr>
          <w:p w14:paraId="2B6234EE"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No</w:t>
            </w:r>
          </w:p>
        </w:tc>
      </w:tr>
      <w:tr w:rsidR="00235CA4" w:rsidRPr="00F579A9" w14:paraId="436F0074" w14:textId="77777777" w:rsidTr="00CF2D19">
        <w:trPr>
          <w:trHeight w:val="400"/>
          <w:jc w:val="center"/>
        </w:trPr>
        <w:tc>
          <w:tcPr>
            <w:tcW w:w="1642" w:type="dxa"/>
          </w:tcPr>
          <w:p w14:paraId="072ED8EE" w14:textId="77777777" w:rsidR="00CF2D19" w:rsidRPr="008F02C4" w:rsidRDefault="00CF2D19" w:rsidP="00CF2D19">
            <w:pPr>
              <w:spacing w:after="200"/>
              <w:ind w:hanging="2"/>
              <w:rPr>
                <w:rFonts w:ascii="Times New Roman" w:hAnsi="Times New Roman" w:cs="Times New Roman"/>
                <w:sz w:val="20"/>
                <w:szCs w:val="20"/>
                <w:lang w:val="es-ES"/>
              </w:rPr>
            </w:pPr>
            <w:r w:rsidRPr="008F02C4">
              <w:rPr>
                <w:rFonts w:ascii="Times New Roman" w:hAnsi="Times New Roman" w:cs="Times New Roman"/>
                <w:sz w:val="20"/>
                <w:szCs w:val="20"/>
                <w:lang w:val="es-ES"/>
              </w:rPr>
              <w:t xml:space="preserve">Jansen, E. M., van de Hei, S. J., Dierick, B. J., Kerstjens, H. A., Kocks, J. W., &amp; </w:t>
            </w:r>
            <w:r w:rsidRPr="008F02C4">
              <w:rPr>
                <w:rFonts w:ascii="Times New Roman" w:hAnsi="Times New Roman" w:cs="Times New Roman"/>
                <w:sz w:val="20"/>
                <w:szCs w:val="20"/>
                <w:lang w:val="es-ES"/>
              </w:rPr>
              <w:lastRenderedPageBreak/>
              <w:t>van Boven, J. F. (2021).</w:t>
            </w:r>
          </w:p>
        </w:tc>
        <w:tc>
          <w:tcPr>
            <w:tcW w:w="1868" w:type="dxa"/>
          </w:tcPr>
          <w:p w14:paraId="2B44DF87" w14:textId="5786CDAA" w:rsidR="00CF2D19" w:rsidRPr="00F579A9" w:rsidRDefault="00D163A3" w:rsidP="00CF2D19">
            <w:pPr>
              <w:spacing w:after="200"/>
              <w:ind w:hanging="2"/>
              <w:rPr>
                <w:rFonts w:ascii="Times New Roman" w:hAnsi="Times New Roman" w:cs="Times New Roman"/>
                <w:sz w:val="20"/>
                <w:szCs w:val="20"/>
              </w:rPr>
            </w:pPr>
            <w:r>
              <w:rPr>
                <w:rFonts w:ascii="Times New Roman" w:hAnsi="Times New Roman" w:cs="Times New Roman"/>
                <w:sz w:val="20"/>
                <w:szCs w:val="20"/>
              </w:rPr>
              <w:lastRenderedPageBreak/>
              <w:t>Theoretical</w:t>
            </w:r>
          </w:p>
        </w:tc>
        <w:tc>
          <w:tcPr>
            <w:tcW w:w="1939" w:type="dxa"/>
          </w:tcPr>
          <w:p w14:paraId="0C40194F"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 xml:space="preserve">The aim of this review is to provide a narrative overview of both the extent of medication non-adherence, its </w:t>
            </w:r>
            <w:r w:rsidRPr="00F579A9">
              <w:rPr>
                <w:rFonts w:ascii="Times New Roman" w:hAnsi="Times New Roman" w:cs="Times New Roman"/>
                <w:sz w:val="20"/>
                <w:szCs w:val="20"/>
              </w:rPr>
              <w:lastRenderedPageBreak/>
              <w:t>clinical and economic consequences.</w:t>
            </w:r>
          </w:p>
        </w:tc>
        <w:tc>
          <w:tcPr>
            <w:tcW w:w="1674" w:type="dxa"/>
          </w:tcPr>
          <w:p w14:paraId="1217A852"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lastRenderedPageBreak/>
              <w:t>Qualitative systematic review</w:t>
            </w:r>
          </w:p>
        </w:tc>
        <w:tc>
          <w:tcPr>
            <w:tcW w:w="2422" w:type="dxa"/>
          </w:tcPr>
          <w:p w14:paraId="30A1033E"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 xml:space="preserve">Persistence with asthma/COPD therapy is most frequently measured by determining the frequency of pharmacy </w:t>
            </w:r>
            <w:r w:rsidRPr="00F579A9">
              <w:rPr>
                <w:rFonts w:ascii="Times New Roman" w:hAnsi="Times New Roman" w:cs="Times New Roman"/>
                <w:sz w:val="20"/>
                <w:szCs w:val="20"/>
              </w:rPr>
              <w:lastRenderedPageBreak/>
              <w:t>medication refills. Yet refill records do not differentiate between the end of a treatment period and the moment of discontinuation.</w:t>
            </w:r>
          </w:p>
        </w:tc>
        <w:tc>
          <w:tcPr>
            <w:tcW w:w="1765" w:type="dxa"/>
          </w:tcPr>
          <w:p w14:paraId="2C0636DE" w14:textId="77777777" w:rsidR="00CF2D19" w:rsidRPr="00F579A9" w:rsidRDefault="00CF2D19" w:rsidP="00CF2D19">
            <w:pPr>
              <w:pStyle w:val="p1"/>
              <w:spacing w:after="200" w:line="240" w:lineRule="auto"/>
              <w:rPr>
                <w:rFonts w:ascii="Times New Roman" w:hAnsi="Times New Roman" w:cs="Times New Roman"/>
                <w:color w:val="000000" w:themeColor="text1"/>
                <w:sz w:val="20"/>
                <w:szCs w:val="20"/>
              </w:rPr>
            </w:pPr>
            <w:r w:rsidRPr="00F579A9">
              <w:rPr>
                <w:rFonts w:ascii="Times New Roman" w:hAnsi="Times New Roman" w:cs="Times New Roman"/>
                <w:color w:val="1B1B1B"/>
                <w:sz w:val="20"/>
                <w:szCs w:val="20"/>
                <w:shd w:val="clear" w:color="auto" w:fill="FFFFFF"/>
              </w:rPr>
              <w:lastRenderedPageBreak/>
              <w:t xml:space="preserve">In conclusion, medication non-adherence is prevalent in patients with </w:t>
            </w:r>
            <w:r w:rsidRPr="00F579A9">
              <w:rPr>
                <w:rFonts w:ascii="Times New Roman" w:hAnsi="Times New Roman" w:cs="Times New Roman"/>
                <w:color w:val="1B1B1B"/>
                <w:sz w:val="20"/>
                <w:szCs w:val="20"/>
                <w:shd w:val="clear" w:color="auto" w:fill="FFFFFF"/>
              </w:rPr>
              <w:lastRenderedPageBreak/>
              <w:t>asthma and COPD and places a high burden on patients and societies around the world.</w:t>
            </w:r>
          </w:p>
        </w:tc>
        <w:tc>
          <w:tcPr>
            <w:tcW w:w="1555" w:type="dxa"/>
          </w:tcPr>
          <w:p w14:paraId="0573B838"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lastRenderedPageBreak/>
              <w:t>No</w:t>
            </w:r>
          </w:p>
        </w:tc>
      </w:tr>
      <w:tr w:rsidR="00235CA4" w:rsidRPr="00F579A9" w14:paraId="5FBA0E9C" w14:textId="77777777" w:rsidTr="00CF2D19">
        <w:trPr>
          <w:trHeight w:val="400"/>
          <w:jc w:val="center"/>
        </w:trPr>
        <w:tc>
          <w:tcPr>
            <w:tcW w:w="1642" w:type="dxa"/>
          </w:tcPr>
          <w:p w14:paraId="14714041"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Juba, O. O., Olumide, A. F., David, J. I., &amp; Adekunle, K. A. (2024).</w:t>
            </w:r>
          </w:p>
        </w:tc>
        <w:tc>
          <w:tcPr>
            <w:tcW w:w="1868" w:type="dxa"/>
          </w:tcPr>
          <w:p w14:paraId="57BAB67C" w14:textId="030F2D3C" w:rsidR="00CF2D19" w:rsidRPr="00F579A9" w:rsidRDefault="00D163A3" w:rsidP="00CF2D19">
            <w:pPr>
              <w:spacing w:after="200"/>
              <w:ind w:hanging="2"/>
              <w:rPr>
                <w:rFonts w:ascii="Times New Roman" w:hAnsi="Times New Roman" w:cs="Times New Roman"/>
                <w:sz w:val="20"/>
                <w:szCs w:val="20"/>
              </w:rPr>
            </w:pPr>
            <w:r>
              <w:rPr>
                <w:rFonts w:ascii="Times New Roman" w:hAnsi="Times New Roman" w:cs="Times New Roman"/>
                <w:sz w:val="20"/>
                <w:szCs w:val="20"/>
              </w:rPr>
              <w:t>Theoretical</w:t>
            </w:r>
          </w:p>
        </w:tc>
        <w:tc>
          <w:tcPr>
            <w:tcW w:w="1939" w:type="dxa"/>
          </w:tcPr>
          <w:p w14:paraId="30F787B8"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This paper examines the use case and functionality of technology supporting domiciliary care for older people.</w:t>
            </w:r>
          </w:p>
        </w:tc>
        <w:tc>
          <w:tcPr>
            <w:tcW w:w="1674" w:type="dxa"/>
          </w:tcPr>
          <w:p w14:paraId="231E5B10"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Qualitative systematic review</w:t>
            </w:r>
          </w:p>
        </w:tc>
        <w:tc>
          <w:tcPr>
            <w:tcW w:w="2422" w:type="dxa"/>
          </w:tcPr>
          <w:p w14:paraId="5E9837A6"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shd w:val="clear" w:color="auto" w:fill="FFFFFF"/>
              </w:rPr>
              <w:t xml:space="preserve">Automation can be used to alleviate caregiver burden and enhance patient safety among older adults living independently. </w:t>
            </w:r>
          </w:p>
        </w:tc>
        <w:tc>
          <w:tcPr>
            <w:tcW w:w="1765" w:type="dxa"/>
          </w:tcPr>
          <w:p w14:paraId="109BB60C"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shd w:val="clear" w:color="auto" w:fill="FFFFFF"/>
              </w:rPr>
              <w:t>This paper provides insights into the economic and social benefits of technology-enabled domiciliary care, drawing on a literature review and case studies.</w:t>
            </w:r>
          </w:p>
        </w:tc>
        <w:tc>
          <w:tcPr>
            <w:tcW w:w="1555" w:type="dxa"/>
          </w:tcPr>
          <w:p w14:paraId="40A39C90"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No</w:t>
            </w:r>
          </w:p>
        </w:tc>
      </w:tr>
      <w:tr w:rsidR="00235CA4" w:rsidRPr="00F579A9" w14:paraId="1FD1C566" w14:textId="77777777" w:rsidTr="00CF2D19">
        <w:trPr>
          <w:trHeight w:val="400"/>
          <w:jc w:val="center"/>
        </w:trPr>
        <w:tc>
          <w:tcPr>
            <w:tcW w:w="1642" w:type="dxa"/>
          </w:tcPr>
          <w:p w14:paraId="7FCF6FC1"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Kulkov, I., Ivanova-Gongne, M., Bertello, A., Makkonen, H., Kulkova, J., Rohrbeck, R., &amp; Ferraris, A. (2023).</w:t>
            </w:r>
          </w:p>
        </w:tc>
        <w:tc>
          <w:tcPr>
            <w:tcW w:w="1868" w:type="dxa"/>
          </w:tcPr>
          <w:p w14:paraId="53FF2D55" w14:textId="45B67994" w:rsidR="00CF2D19" w:rsidRPr="00F579A9" w:rsidRDefault="00D163A3" w:rsidP="00CF2D19">
            <w:pPr>
              <w:spacing w:after="200"/>
              <w:ind w:hanging="2"/>
              <w:rPr>
                <w:rFonts w:ascii="Times New Roman" w:hAnsi="Times New Roman" w:cs="Times New Roman"/>
                <w:sz w:val="20"/>
                <w:szCs w:val="20"/>
              </w:rPr>
            </w:pPr>
            <w:r>
              <w:rPr>
                <w:rFonts w:ascii="Times New Roman" w:hAnsi="Times New Roman" w:cs="Times New Roman"/>
                <w:sz w:val="20"/>
                <w:szCs w:val="20"/>
              </w:rPr>
              <w:t>Theoretical</w:t>
            </w:r>
          </w:p>
        </w:tc>
        <w:tc>
          <w:tcPr>
            <w:tcW w:w="1939" w:type="dxa"/>
          </w:tcPr>
          <w:p w14:paraId="7F7AF735"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In this study, we draw on modern literature and illustrative cases to identify patterns of technological value creation in the healthcare industry, with the goal of developing an understanding of the challenges and opportunities for technology entrepreneurs.</w:t>
            </w:r>
          </w:p>
        </w:tc>
        <w:tc>
          <w:tcPr>
            <w:tcW w:w="1674" w:type="dxa"/>
          </w:tcPr>
          <w:p w14:paraId="2B6AAA96"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Qualitative systematic review</w:t>
            </w:r>
          </w:p>
        </w:tc>
        <w:tc>
          <w:tcPr>
            <w:tcW w:w="2422" w:type="dxa"/>
          </w:tcPr>
          <w:p w14:paraId="361EF98F"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 xml:space="preserve">First, potential customers of healthcare services, such as physicians or patients, may not even assume that standard medical procedures or business processes can be performed in a new, atypical way (Tortorella, Saurin, Fogliatto, Rosa, Tonetto, &amp; Magrabi, 2020). rates, helping invent previously inaccessible medicine, and </w:t>
            </w:r>
            <w:r w:rsidRPr="00F579A9">
              <w:rPr>
                <w:rFonts w:ascii="Times New Roman" w:hAnsi="Times New Roman" w:cs="Times New Roman"/>
                <w:sz w:val="20"/>
                <w:szCs w:val="20"/>
              </w:rPr>
              <w:lastRenderedPageBreak/>
              <w:t>improving rehabilitation processes.</w:t>
            </w:r>
          </w:p>
        </w:tc>
        <w:tc>
          <w:tcPr>
            <w:tcW w:w="1765" w:type="dxa"/>
          </w:tcPr>
          <w:p w14:paraId="5D58BE36"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lastRenderedPageBreak/>
              <w:t>We conclude the article by outlining practical implications at the micro-level (i.e., patient advocacy and technology-enabled engagement strategies.</w:t>
            </w:r>
          </w:p>
        </w:tc>
        <w:tc>
          <w:tcPr>
            <w:tcW w:w="1555" w:type="dxa"/>
          </w:tcPr>
          <w:p w14:paraId="30860099"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No</w:t>
            </w:r>
          </w:p>
        </w:tc>
      </w:tr>
      <w:tr w:rsidR="00235CA4" w:rsidRPr="00F579A9" w14:paraId="51E93A60" w14:textId="77777777" w:rsidTr="00CF2D19">
        <w:trPr>
          <w:trHeight w:val="400"/>
          <w:jc w:val="center"/>
        </w:trPr>
        <w:tc>
          <w:tcPr>
            <w:tcW w:w="1642" w:type="dxa"/>
          </w:tcPr>
          <w:p w14:paraId="4D8EAF66"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Loots, E., Goossens, E., Vanwesemael, T., Morrens, M., Van Rompaey, B., &amp; Dilles, T. (2021).</w:t>
            </w:r>
          </w:p>
        </w:tc>
        <w:tc>
          <w:tcPr>
            <w:tcW w:w="1868" w:type="dxa"/>
          </w:tcPr>
          <w:p w14:paraId="75EBB19F" w14:textId="57AE07A1" w:rsidR="00CF2D19" w:rsidRPr="00F579A9" w:rsidRDefault="00D163A3" w:rsidP="00CF2D19">
            <w:pPr>
              <w:spacing w:after="200"/>
              <w:ind w:hanging="2"/>
              <w:rPr>
                <w:rFonts w:ascii="Times New Roman" w:hAnsi="Times New Roman" w:cs="Times New Roman"/>
                <w:sz w:val="20"/>
                <w:szCs w:val="20"/>
              </w:rPr>
            </w:pPr>
            <w:r>
              <w:rPr>
                <w:rFonts w:ascii="Times New Roman" w:hAnsi="Times New Roman" w:cs="Times New Roman"/>
                <w:sz w:val="20"/>
                <w:szCs w:val="20"/>
              </w:rPr>
              <w:t>Theoretical</w:t>
            </w:r>
          </w:p>
        </w:tc>
        <w:tc>
          <w:tcPr>
            <w:tcW w:w="1939" w:type="dxa"/>
          </w:tcPr>
          <w:p w14:paraId="6E0A0B3B"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The aim of this systematic review and meta-analysis was to compare the effectiveness of interventions to improve medication adherence in patients with schizophrenia or bipolar disorders.</w:t>
            </w:r>
          </w:p>
        </w:tc>
        <w:tc>
          <w:tcPr>
            <w:tcW w:w="1674" w:type="dxa"/>
          </w:tcPr>
          <w:p w14:paraId="125DDAFC"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Qualitative systematic review</w:t>
            </w:r>
          </w:p>
        </w:tc>
        <w:tc>
          <w:tcPr>
            <w:tcW w:w="2422" w:type="dxa"/>
          </w:tcPr>
          <w:p w14:paraId="35A6B576"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A total of 4238 participants, ranging from 30 to 1268 per study, were included. Of the total sample, 2967 patients (70%) were diagnosed with schizophrenia or schizoaffective or schizoid disorders, and 1271 patients (30%) were diagnosed with bipolar disorder.</w:t>
            </w:r>
          </w:p>
        </w:tc>
        <w:tc>
          <w:tcPr>
            <w:tcW w:w="1765" w:type="dxa"/>
          </w:tcPr>
          <w:p w14:paraId="578C4762" w14:textId="77777777" w:rsidR="00CF2D19" w:rsidRPr="00F579A9" w:rsidRDefault="00CF2D19" w:rsidP="00CF2D19">
            <w:pPr>
              <w:pStyle w:val="p1"/>
              <w:spacing w:after="200" w:line="240" w:lineRule="auto"/>
              <w:rPr>
                <w:rFonts w:ascii="Times New Roman" w:hAnsi="Times New Roman" w:cs="Times New Roman"/>
                <w:sz w:val="20"/>
                <w:szCs w:val="20"/>
              </w:rPr>
            </w:pPr>
            <w:r w:rsidRPr="00F579A9">
              <w:rPr>
                <w:rFonts w:ascii="Times New Roman" w:hAnsi="Times New Roman" w:cs="Times New Roman"/>
                <w:sz w:val="20"/>
                <w:szCs w:val="20"/>
              </w:rPr>
              <w:t>Our review is the first to provide a synthesis of the effectiveness of interventions aiming to improve medication adherence in patients with schizophrenia or bipolar disorders. strategies.</w:t>
            </w:r>
          </w:p>
        </w:tc>
        <w:tc>
          <w:tcPr>
            <w:tcW w:w="1555" w:type="dxa"/>
          </w:tcPr>
          <w:p w14:paraId="3B9B5A6F" w14:textId="77777777" w:rsidR="00CF2D19" w:rsidRPr="00F579A9" w:rsidRDefault="00CF2D19" w:rsidP="00CF2D19">
            <w:pPr>
              <w:spacing w:after="200"/>
              <w:ind w:hanging="2"/>
              <w:rPr>
                <w:rFonts w:ascii="Times New Roman" w:hAnsi="Times New Roman" w:cs="Times New Roman"/>
                <w:sz w:val="20"/>
                <w:szCs w:val="20"/>
              </w:rPr>
            </w:pPr>
            <w:r w:rsidRPr="00F579A9">
              <w:rPr>
                <w:rFonts w:ascii="Times New Roman" w:hAnsi="Times New Roman" w:cs="Times New Roman"/>
                <w:sz w:val="20"/>
                <w:szCs w:val="20"/>
              </w:rPr>
              <w:t>No</w:t>
            </w:r>
          </w:p>
        </w:tc>
      </w:tr>
    </w:tbl>
    <w:p w14:paraId="4677AFBC" w14:textId="77777777" w:rsidR="00CF2D19" w:rsidRPr="00CF2D19" w:rsidRDefault="00CF2D19" w:rsidP="00CF2D19"/>
    <w:p w14:paraId="5102E5A5" w14:textId="77777777" w:rsidR="00CF2D19" w:rsidRPr="00CF2D19" w:rsidRDefault="00CF2D19" w:rsidP="00CF2D19"/>
    <w:p w14:paraId="2624F0E1" w14:textId="77777777" w:rsidR="00CF2D19" w:rsidRPr="001E1574" w:rsidRDefault="00CF2D19" w:rsidP="00216056">
      <w:pPr>
        <w:pStyle w:val="APALevel0"/>
      </w:pPr>
    </w:p>
    <w:p w14:paraId="57AA393B" w14:textId="77777777" w:rsidR="00360DFD" w:rsidRPr="00360DFD" w:rsidRDefault="00360DFD" w:rsidP="00360DFD">
      <w:pPr>
        <w:tabs>
          <w:tab w:val="left" w:pos="9435"/>
        </w:tabs>
        <w:sectPr w:rsidR="00360DFD" w:rsidRPr="00360DFD" w:rsidSect="00C130DF">
          <w:headerReference w:type="default" r:id="rId109"/>
          <w:footerReference w:type="default" r:id="rId110"/>
          <w:pgSz w:w="15840" w:h="12240" w:orient="landscape" w:code="1"/>
          <w:pgMar w:top="2160" w:right="1872" w:bottom="1440" w:left="1440" w:header="1440" w:footer="1440" w:gutter="0"/>
          <w:cols w:space="720"/>
          <w:noEndnote/>
          <w:docGrid w:linePitch="360"/>
        </w:sectPr>
      </w:pPr>
    </w:p>
    <w:p w14:paraId="16840B6D" w14:textId="7C512B71" w:rsidR="000C625F" w:rsidRPr="00CF2D19" w:rsidRDefault="00D26C9F" w:rsidP="00CF2D19">
      <w:pPr>
        <w:pStyle w:val="APALevel0"/>
      </w:pPr>
      <w:bookmarkStart w:id="115" w:name="_Toc130372407"/>
      <w:r w:rsidRPr="00CF2D19">
        <w:lastRenderedPageBreak/>
        <w:t xml:space="preserve">Appendix </w:t>
      </w:r>
      <w:r w:rsidR="00445932" w:rsidRPr="00CF2D19">
        <w:t>B</w:t>
      </w:r>
      <w:r w:rsidRPr="00CF2D19">
        <w:t xml:space="preserve">: DHA </w:t>
      </w:r>
      <w:r w:rsidR="00E04160" w:rsidRPr="00CF2D19">
        <w:t xml:space="preserve">Review Question(s) </w:t>
      </w:r>
      <w:r w:rsidR="00390DA0" w:rsidRPr="00CF2D19">
        <w:t>Search Log</w:t>
      </w:r>
      <w:bookmarkEnd w:id="115"/>
    </w:p>
    <w:tbl>
      <w:tblPr>
        <w:tblStyle w:val="TableGridLight"/>
        <w:tblpPr w:leftFromText="45" w:rightFromText="45" w:vertAnchor="text"/>
        <w:tblW w:w="5000" w:type="pct"/>
        <w:tblLook w:val="04A0" w:firstRow="1" w:lastRow="0" w:firstColumn="1" w:lastColumn="0" w:noHBand="0" w:noVBand="1"/>
      </w:tblPr>
      <w:tblGrid>
        <w:gridCol w:w="2901"/>
        <w:gridCol w:w="2327"/>
        <w:gridCol w:w="1082"/>
        <w:gridCol w:w="2320"/>
      </w:tblGrid>
      <w:tr w:rsidR="008E2EFD" w:rsidRPr="00C27EE2" w14:paraId="35F5F9E0" w14:textId="77777777" w:rsidTr="00CF2D19">
        <w:trPr>
          <w:tblHeader/>
        </w:trPr>
        <w:tc>
          <w:tcPr>
            <w:tcW w:w="1681" w:type="pct"/>
            <w:tcBorders>
              <w:top w:val="single" w:sz="4" w:space="0" w:color="auto"/>
              <w:bottom w:val="single" w:sz="4" w:space="0" w:color="auto"/>
            </w:tcBorders>
            <w:hideMark/>
          </w:tcPr>
          <w:p w14:paraId="358AD7F0" w14:textId="77777777" w:rsidR="00CF2D19" w:rsidRPr="00C27EE2" w:rsidRDefault="00CF2D19" w:rsidP="00CF2D19">
            <w:pPr>
              <w:jc w:val="center"/>
              <w:rPr>
                <w:rFonts w:ascii="Times New Roman" w:hAnsi="Times New Roman" w:cs="Times New Roman"/>
                <w:color w:val="000000"/>
                <w:sz w:val="20"/>
                <w:szCs w:val="20"/>
              </w:rPr>
            </w:pPr>
            <w:r w:rsidRPr="00C27EE2">
              <w:rPr>
                <w:rFonts w:ascii="Times New Roman" w:hAnsi="Times New Roman" w:cs="Times New Roman"/>
                <w:color w:val="000000"/>
                <w:sz w:val="20"/>
                <w:szCs w:val="20"/>
              </w:rPr>
              <w:t>Database or location name</w:t>
            </w:r>
          </w:p>
        </w:tc>
        <w:tc>
          <w:tcPr>
            <w:tcW w:w="1348" w:type="pct"/>
            <w:tcBorders>
              <w:top w:val="single" w:sz="4" w:space="0" w:color="auto"/>
              <w:bottom w:val="single" w:sz="4" w:space="0" w:color="auto"/>
            </w:tcBorders>
            <w:hideMark/>
          </w:tcPr>
          <w:p w14:paraId="2A8AEFC6" w14:textId="77777777" w:rsidR="00CF2D19" w:rsidRPr="00C27EE2" w:rsidRDefault="00CF2D19" w:rsidP="00CF2D19">
            <w:pPr>
              <w:jc w:val="center"/>
              <w:rPr>
                <w:rFonts w:ascii="Times New Roman" w:hAnsi="Times New Roman" w:cs="Times New Roman"/>
                <w:color w:val="000000"/>
                <w:sz w:val="20"/>
                <w:szCs w:val="20"/>
              </w:rPr>
            </w:pPr>
            <w:r w:rsidRPr="00C27EE2">
              <w:rPr>
                <w:rFonts w:ascii="Times New Roman" w:hAnsi="Times New Roman" w:cs="Times New Roman"/>
                <w:color w:val="000000"/>
                <w:sz w:val="20"/>
                <w:szCs w:val="20"/>
              </w:rPr>
              <w:t>Search terms</w:t>
            </w:r>
          </w:p>
        </w:tc>
        <w:tc>
          <w:tcPr>
            <w:tcW w:w="627" w:type="pct"/>
            <w:tcBorders>
              <w:top w:val="single" w:sz="4" w:space="0" w:color="auto"/>
              <w:bottom w:val="single" w:sz="4" w:space="0" w:color="auto"/>
            </w:tcBorders>
            <w:hideMark/>
          </w:tcPr>
          <w:p w14:paraId="2F1D53C0" w14:textId="77777777" w:rsidR="00CF2D19" w:rsidRPr="00C27EE2" w:rsidRDefault="00CF2D19" w:rsidP="00CF2D19">
            <w:pPr>
              <w:jc w:val="center"/>
              <w:rPr>
                <w:rFonts w:ascii="Times New Roman" w:hAnsi="Times New Roman" w:cs="Times New Roman"/>
                <w:color w:val="000000"/>
                <w:sz w:val="20"/>
                <w:szCs w:val="20"/>
              </w:rPr>
            </w:pPr>
            <w:r w:rsidRPr="00C27EE2">
              <w:rPr>
                <w:rFonts w:ascii="Times New Roman" w:hAnsi="Times New Roman" w:cs="Times New Roman"/>
                <w:color w:val="000000"/>
                <w:sz w:val="20"/>
                <w:szCs w:val="20"/>
              </w:rPr>
              <w:t>Results</w:t>
            </w:r>
          </w:p>
        </w:tc>
        <w:tc>
          <w:tcPr>
            <w:tcW w:w="1344" w:type="pct"/>
            <w:tcBorders>
              <w:top w:val="single" w:sz="4" w:space="0" w:color="auto"/>
              <w:bottom w:val="single" w:sz="4" w:space="0" w:color="auto"/>
            </w:tcBorders>
            <w:hideMark/>
          </w:tcPr>
          <w:p w14:paraId="1322B7E8" w14:textId="77777777" w:rsidR="00CF2D19" w:rsidRPr="00C27EE2" w:rsidRDefault="00CF2D19" w:rsidP="00CF2D19">
            <w:pPr>
              <w:jc w:val="center"/>
              <w:rPr>
                <w:rFonts w:ascii="Times New Roman" w:hAnsi="Times New Roman" w:cs="Times New Roman"/>
                <w:color w:val="000000"/>
                <w:sz w:val="20"/>
                <w:szCs w:val="20"/>
              </w:rPr>
            </w:pPr>
            <w:r w:rsidRPr="00C27EE2">
              <w:rPr>
                <w:rFonts w:ascii="Times New Roman" w:hAnsi="Times New Roman" w:cs="Times New Roman"/>
                <w:color w:val="000000"/>
                <w:sz w:val="20"/>
                <w:szCs w:val="20"/>
              </w:rPr>
              <w:t>Notes</w:t>
            </w:r>
          </w:p>
        </w:tc>
      </w:tr>
      <w:tr w:rsidR="008E2EFD" w:rsidRPr="00C27EE2" w14:paraId="1022FEDF" w14:textId="77777777" w:rsidTr="00CF2D19">
        <w:tc>
          <w:tcPr>
            <w:tcW w:w="1681" w:type="pct"/>
            <w:tcBorders>
              <w:top w:val="single" w:sz="4" w:space="0" w:color="auto"/>
            </w:tcBorders>
          </w:tcPr>
          <w:p w14:paraId="387FE1DD" w14:textId="02216CA6"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sz w:val="20"/>
                <w:szCs w:val="20"/>
              </w:rPr>
              <w:t>PubMed</w:t>
            </w:r>
          </w:p>
        </w:tc>
        <w:tc>
          <w:tcPr>
            <w:tcW w:w="1348" w:type="pct"/>
            <w:tcBorders>
              <w:top w:val="single" w:sz="4" w:space="0" w:color="auto"/>
            </w:tcBorders>
          </w:tcPr>
          <w:p w14:paraId="1D08ACCF" w14:textId="77777777"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sz w:val="20"/>
                <w:szCs w:val="20"/>
              </w:rPr>
              <w:t>medication nonadherence”</w:t>
            </w:r>
          </w:p>
        </w:tc>
        <w:tc>
          <w:tcPr>
            <w:tcW w:w="627" w:type="pct"/>
            <w:tcBorders>
              <w:top w:val="single" w:sz="4" w:space="0" w:color="auto"/>
            </w:tcBorders>
          </w:tcPr>
          <w:p w14:paraId="70DA4CA6" w14:textId="77777777"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color w:val="000000"/>
                <w:sz w:val="20"/>
                <w:szCs w:val="20"/>
              </w:rPr>
              <w:t>23,145</w:t>
            </w:r>
          </w:p>
        </w:tc>
        <w:tc>
          <w:tcPr>
            <w:tcW w:w="1344" w:type="pct"/>
            <w:tcBorders>
              <w:top w:val="single" w:sz="4" w:space="0" w:color="auto"/>
            </w:tcBorders>
          </w:tcPr>
          <w:p w14:paraId="01BB7924" w14:textId="77777777"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sz w:val="20"/>
                <w:szCs w:val="20"/>
              </w:rPr>
              <w:t xml:space="preserve">The search was limited to the period from January 2020 to March 2025. The purpose of this timeframe was to ensure the relevance of the articles to the topic of study and the rigor of the review. </w:t>
            </w:r>
          </w:p>
        </w:tc>
      </w:tr>
      <w:tr w:rsidR="008E2EFD" w:rsidRPr="00C27EE2" w14:paraId="5680BE0D" w14:textId="77777777">
        <w:tc>
          <w:tcPr>
            <w:tcW w:w="1681" w:type="pct"/>
          </w:tcPr>
          <w:p w14:paraId="29986B9C" w14:textId="7E3F8126"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sz w:val="20"/>
                <w:szCs w:val="20"/>
              </w:rPr>
              <w:t>Web of Science</w:t>
            </w:r>
          </w:p>
        </w:tc>
        <w:tc>
          <w:tcPr>
            <w:tcW w:w="1348" w:type="pct"/>
          </w:tcPr>
          <w:p w14:paraId="57650BCC" w14:textId="77777777"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sz w:val="20"/>
                <w:szCs w:val="20"/>
              </w:rPr>
              <w:t>targeted strategy”</w:t>
            </w:r>
          </w:p>
        </w:tc>
        <w:tc>
          <w:tcPr>
            <w:tcW w:w="627" w:type="pct"/>
          </w:tcPr>
          <w:p w14:paraId="5A827FED" w14:textId="77777777"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color w:val="000000"/>
                <w:sz w:val="20"/>
                <w:szCs w:val="20"/>
              </w:rPr>
              <w:t>12,313</w:t>
            </w:r>
          </w:p>
        </w:tc>
        <w:tc>
          <w:tcPr>
            <w:tcW w:w="1344" w:type="pct"/>
          </w:tcPr>
          <w:p w14:paraId="5B7299BD" w14:textId="77777777"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sz w:val="20"/>
                <w:szCs w:val="20"/>
              </w:rPr>
              <w:t xml:space="preserve">The search was limited to the period from January 2020 to March 2025. The purpose of this timeframe was to ensure the relevance of the articles to the topic of study and the rigor of the review. </w:t>
            </w:r>
          </w:p>
        </w:tc>
      </w:tr>
      <w:tr w:rsidR="008E2EFD" w:rsidRPr="00C27EE2" w14:paraId="034912D1" w14:textId="77777777">
        <w:tc>
          <w:tcPr>
            <w:tcW w:w="1681" w:type="pct"/>
          </w:tcPr>
          <w:p w14:paraId="2407E31F" w14:textId="173DEB54"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sz w:val="20"/>
                <w:szCs w:val="20"/>
              </w:rPr>
              <w:t>SCOPUS</w:t>
            </w:r>
          </w:p>
        </w:tc>
        <w:tc>
          <w:tcPr>
            <w:tcW w:w="1348" w:type="pct"/>
          </w:tcPr>
          <w:p w14:paraId="5DA0F367" w14:textId="77777777"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sz w:val="20"/>
                <w:szCs w:val="20"/>
              </w:rPr>
              <w:t>cost-reduction</w:t>
            </w:r>
          </w:p>
        </w:tc>
        <w:tc>
          <w:tcPr>
            <w:tcW w:w="627" w:type="pct"/>
          </w:tcPr>
          <w:p w14:paraId="02A699C7" w14:textId="77777777"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color w:val="000000"/>
                <w:sz w:val="20"/>
                <w:szCs w:val="20"/>
              </w:rPr>
              <w:t>1,892</w:t>
            </w:r>
          </w:p>
        </w:tc>
        <w:tc>
          <w:tcPr>
            <w:tcW w:w="1344" w:type="pct"/>
          </w:tcPr>
          <w:p w14:paraId="4C661539" w14:textId="77777777"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sz w:val="20"/>
                <w:szCs w:val="20"/>
              </w:rPr>
              <w:t xml:space="preserve">The search was limited to the period from January 2020 to March 2025. The purpose of this timeframe was to ensure the relevance of the articles to the topic of study and the rigor of the review. </w:t>
            </w:r>
          </w:p>
        </w:tc>
      </w:tr>
      <w:tr w:rsidR="008E2EFD" w:rsidRPr="00C27EE2" w14:paraId="193B4CA5" w14:textId="77777777">
        <w:tc>
          <w:tcPr>
            <w:tcW w:w="1681" w:type="pct"/>
          </w:tcPr>
          <w:p w14:paraId="25637DA5" w14:textId="605BE80E"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sz w:val="20"/>
                <w:szCs w:val="20"/>
              </w:rPr>
              <w:t>EBSCO Host and Database</w:t>
            </w:r>
          </w:p>
        </w:tc>
        <w:tc>
          <w:tcPr>
            <w:tcW w:w="1348" w:type="pct"/>
          </w:tcPr>
          <w:p w14:paraId="74D7F2BD" w14:textId="77777777"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sz w:val="20"/>
                <w:szCs w:val="20"/>
              </w:rPr>
              <w:t>chronic medication nonadherence</w:t>
            </w:r>
          </w:p>
        </w:tc>
        <w:tc>
          <w:tcPr>
            <w:tcW w:w="627" w:type="pct"/>
          </w:tcPr>
          <w:p w14:paraId="1B883EAA" w14:textId="77777777"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color w:val="000000"/>
                <w:sz w:val="20"/>
                <w:szCs w:val="20"/>
              </w:rPr>
              <w:t>10,963</w:t>
            </w:r>
          </w:p>
        </w:tc>
        <w:tc>
          <w:tcPr>
            <w:tcW w:w="1344" w:type="pct"/>
          </w:tcPr>
          <w:p w14:paraId="54D8B8ED" w14:textId="77777777"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sz w:val="20"/>
                <w:szCs w:val="20"/>
              </w:rPr>
              <w:t xml:space="preserve">The search was limited to the period from January 2020 to March 2025. The purpose of this timeframe was to ensure the relevance of the articles to the topic of study and the rigor of the review. </w:t>
            </w:r>
          </w:p>
        </w:tc>
      </w:tr>
      <w:tr w:rsidR="008E2EFD" w:rsidRPr="00C27EE2" w14:paraId="7EF254D7" w14:textId="77777777">
        <w:tc>
          <w:tcPr>
            <w:tcW w:w="1681" w:type="pct"/>
          </w:tcPr>
          <w:p w14:paraId="12F802AD" w14:textId="0D28BE24"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sz w:val="20"/>
                <w:szCs w:val="20"/>
              </w:rPr>
              <w:t>PubMed</w:t>
            </w:r>
          </w:p>
        </w:tc>
        <w:tc>
          <w:tcPr>
            <w:tcW w:w="1348" w:type="pct"/>
          </w:tcPr>
          <w:p w14:paraId="4F8B6B2E" w14:textId="77777777"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sz w:val="20"/>
                <w:szCs w:val="20"/>
              </w:rPr>
              <w:t>web-based management</w:t>
            </w:r>
          </w:p>
        </w:tc>
        <w:tc>
          <w:tcPr>
            <w:tcW w:w="627" w:type="pct"/>
          </w:tcPr>
          <w:p w14:paraId="329BB6BA" w14:textId="77777777"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color w:val="000000"/>
                <w:sz w:val="20"/>
                <w:szCs w:val="20"/>
              </w:rPr>
              <w:t>8,932</w:t>
            </w:r>
          </w:p>
        </w:tc>
        <w:tc>
          <w:tcPr>
            <w:tcW w:w="1344" w:type="pct"/>
          </w:tcPr>
          <w:p w14:paraId="1ABDD072" w14:textId="77777777"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sz w:val="20"/>
                <w:szCs w:val="20"/>
              </w:rPr>
              <w:t xml:space="preserve">The search was limited to the period from January 2020 to March 2025. The purpose of this timeframe was to ensure the relevance of the articles to the topic of study and the rigor of the review. </w:t>
            </w:r>
          </w:p>
        </w:tc>
      </w:tr>
      <w:tr w:rsidR="008E2EFD" w:rsidRPr="00C27EE2" w14:paraId="3E5741F4" w14:textId="77777777">
        <w:tc>
          <w:tcPr>
            <w:tcW w:w="1681" w:type="pct"/>
          </w:tcPr>
          <w:p w14:paraId="31ADBB7C" w14:textId="6CBF5D30" w:rsidR="00CF2D19" w:rsidRPr="00C27EE2" w:rsidRDefault="004F570D">
            <w:pPr>
              <w:rPr>
                <w:rFonts w:ascii="Times New Roman" w:hAnsi="Times New Roman" w:cs="Times New Roman"/>
                <w:color w:val="000000"/>
                <w:sz w:val="20"/>
                <w:szCs w:val="20"/>
              </w:rPr>
            </w:pPr>
            <w:r>
              <w:rPr>
                <w:rFonts w:ascii="Times New Roman" w:hAnsi="Times New Roman" w:cs="Times New Roman"/>
                <w:color w:val="000000"/>
                <w:sz w:val="20"/>
                <w:szCs w:val="20"/>
              </w:rPr>
              <w:t>Web of Science</w:t>
            </w:r>
          </w:p>
        </w:tc>
        <w:tc>
          <w:tcPr>
            <w:tcW w:w="1348" w:type="pct"/>
          </w:tcPr>
          <w:p w14:paraId="70FE55CA" w14:textId="77777777" w:rsidR="00CF2D19" w:rsidRPr="00C27EE2" w:rsidRDefault="00CF2D19">
            <w:pPr>
              <w:spacing w:line="480" w:lineRule="auto"/>
              <w:rPr>
                <w:rFonts w:ascii="Times New Roman" w:hAnsi="Times New Roman" w:cs="Times New Roman"/>
                <w:sz w:val="20"/>
                <w:szCs w:val="20"/>
              </w:rPr>
            </w:pPr>
            <w:r w:rsidRPr="00C27EE2">
              <w:rPr>
                <w:rFonts w:ascii="Times New Roman" w:hAnsi="Times New Roman" w:cs="Times New Roman"/>
                <w:sz w:val="20"/>
                <w:szCs w:val="20"/>
              </w:rPr>
              <w:t>preventable spending”</w:t>
            </w:r>
          </w:p>
          <w:p w14:paraId="682E2D1A" w14:textId="77777777" w:rsidR="00CF2D19" w:rsidRPr="00C27EE2" w:rsidRDefault="00CF2D19">
            <w:pPr>
              <w:rPr>
                <w:rFonts w:ascii="Times New Roman" w:hAnsi="Times New Roman" w:cs="Times New Roman"/>
                <w:color w:val="000000"/>
                <w:sz w:val="20"/>
                <w:szCs w:val="20"/>
              </w:rPr>
            </w:pPr>
          </w:p>
        </w:tc>
        <w:tc>
          <w:tcPr>
            <w:tcW w:w="627" w:type="pct"/>
          </w:tcPr>
          <w:p w14:paraId="4E852F10" w14:textId="77777777" w:rsidR="00CF2D19" w:rsidRPr="00C27EE2" w:rsidRDefault="00CF2D19">
            <w:pPr>
              <w:rPr>
                <w:rFonts w:ascii="Times New Roman" w:hAnsi="Times New Roman" w:cs="Times New Roman"/>
                <w:color w:val="000000"/>
                <w:sz w:val="20"/>
                <w:szCs w:val="20"/>
              </w:rPr>
            </w:pPr>
          </w:p>
        </w:tc>
        <w:tc>
          <w:tcPr>
            <w:tcW w:w="1344" w:type="pct"/>
          </w:tcPr>
          <w:p w14:paraId="666B52E0" w14:textId="77777777"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sz w:val="20"/>
                <w:szCs w:val="20"/>
              </w:rPr>
              <w:t xml:space="preserve">The search was limited to the period from January 2020 to March 2025. The purpose of this timeframe was to ensure the relevance of the articles to the topic of study and the rigor of the review. </w:t>
            </w:r>
          </w:p>
        </w:tc>
      </w:tr>
      <w:tr w:rsidR="008E2EFD" w:rsidRPr="00C27EE2" w14:paraId="55770B04" w14:textId="77777777">
        <w:tc>
          <w:tcPr>
            <w:tcW w:w="1681" w:type="pct"/>
          </w:tcPr>
          <w:p w14:paraId="3489FAAB" w14:textId="67C2EAD8"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sz w:val="20"/>
                <w:szCs w:val="20"/>
              </w:rPr>
              <w:lastRenderedPageBreak/>
              <w:t>EBSCO Host and Database</w:t>
            </w:r>
          </w:p>
        </w:tc>
        <w:tc>
          <w:tcPr>
            <w:tcW w:w="1348" w:type="pct"/>
          </w:tcPr>
          <w:p w14:paraId="2C624179" w14:textId="77777777"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sz w:val="20"/>
                <w:szCs w:val="20"/>
              </w:rPr>
              <w:t>system-based</w:t>
            </w:r>
          </w:p>
        </w:tc>
        <w:tc>
          <w:tcPr>
            <w:tcW w:w="627" w:type="pct"/>
          </w:tcPr>
          <w:p w14:paraId="50768025" w14:textId="77777777"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color w:val="000000"/>
                <w:sz w:val="20"/>
                <w:szCs w:val="20"/>
              </w:rPr>
              <w:t>7,253</w:t>
            </w:r>
          </w:p>
        </w:tc>
        <w:tc>
          <w:tcPr>
            <w:tcW w:w="1344" w:type="pct"/>
          </w:tcPr>
          <w:p w14:paraId="6D1EE654" w14:textId="77777777"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sz w:val="20"/>
                <w:szCs w:val="20"/>
              </w:rPr>
              <w:t xml:space="preserve">The search was limited to the timeframe between January 2020 and March 2025. The purpose of this timeframe was to ensure the relevance of the articles with regard to the topic of study and to ensure the rigor of the review. </w:t>
            </w:r>
          </w:p>
        </w:tc>
      </w:tr>
      <w:tr w:rsidR="008E2EFD" w:rsidRPr="00C27EE2" w14:paraId="27AC6E71" w14:textId="77777777">
        <w:tc>
          <w:tcPr>
            <w:tcW w:w="1681" w:type="pct"/>
          </w:tcPr>
          <w:p w14:paraId="52EE84E0" w14:textId="63362707"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sz w:val="20"/>
                <w:szCs w:val="20"/>
              </w:rPr>
              <w:t>PubMed</w:t>
            </w:r>
          </w:p>
        </w:tc>
        <w:tc>
          <w:tcPr>
            <w:tcW w:w="1348" w:type="pct"/>
          </w:tcPr>
          <w:p w14:paraId="236C58D9" w14:textId="77777777"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sz w:val="20"/>
                <w:szCs w:val="20"/>
              </w:rPr>
              <w:t>medication adherence</w:t>
            </w:r>
          </w:p>
        </w:tc>
        <w:tc>
          <w:tcPr>
            <w:tcW w:w="627" w:type="pct"/>
          </w:tcPr>
          <w:p w14:paraId="0E993DA6" w14:textId="77777777"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color w:val="000000"/>
                <w:sz w:val="20"/>
                <w:szCs w:val="20"/>
              </w:rPr>
              <w:t>11,235</w:t>
            </w:r>
          </w:p>
        </w:tc>
        <w:tc>
          <w:tcPr>
            <w:tcW w:w="1344" w:type="pct"/>
          </w:tcPr>
          <w:p w14:paraId="27DEC15A" w14:textId="77777777"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sz w:val="20"/>
                <w:szCs w:val="20"/>
              </w:rPr>
              <w:t xml:space="preserve">The search was limited to the timeframe between January 2020 and March 2025. The purpose of this timeframe was to ensure the relevance of the articles with regard to the topic of study and to ensure the rigor of the review. </w:t>
            </w:r>
          </w:p>
        </w:tc>
      </w:tr>
      <w:tr w:rsidR="008E2EFD" w:rsidRPr="00C27EE2" w14:paraId="51CFC133" w14:textId="77777777">
        <w:tc>
          <w:tcPr>
            <w:tcW w:w="1681" w:type="pct"/>
          </w:tcPr>
          <w:p w14:paraId="1D15A93D" w14:textId="47B25625"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sz w:val="20"/>
                <w:szCs w:val="20"/>
              </w:rPr>
              <w:t>SCOPUS</w:t>
            </w:r>
          </w:p>
        </w:tc>
        <w:tc>
          <w:tcPr>
            <w:tcW w:w="1348" w:type="pct"/>
          </w:tcPr>
          <w:p w14:paraId="630A47E0" w14:textId="77777777"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sz w:val="20"/>
                <w:szCs w:val="20"/>
              </w:rPr>
              <w:t>clinic costs</w:t>
            </w:r>
          </w:p>
        </w:tc>
        <w:tc>
          <w:tcPr>
            <w:tcW w:w="627" w:type="pct"/>
          </w:tcPr>
          <w:p w14:paraId="1C74377E" w14:textId="77777777"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color w:val="000000"/>
                <w:sz w:val="20"/>
                <w:szCs w:val="20"/>
              </w:rPr>
              <w:t>23,873</w:t>
            </w:r>
          </w:p>
        </w:tc>
        <w:tc>
          <w:tcPr>
            <w:tcW w:w="1344" w:type="pct"/>
          </w:tcPr>
          <w:p w14:paraId="31818B74" w14:textId="77777777" w:rsidR="00CF2D19" w:rsidRPr="00C27EE2" w:rsidRDefault="00CF2D19">
            <w:pPr>
              <w:rPr>
                <w:rFonts w:ascii="Times New Roman" w:hAnsi="Times New Roman" w:cs="Times New Roman"/>
                <w:color w:val="000000"/>
                <w:sz w:val="20"/>
                <w:szCs w:val="20"/>
              </w:rPr>
            </w:pPr>
            <w:r w:rsidRPr="00C27EE2">
              <w:rPr>
                <w:rFonts w:ascii="Times New Roman" w:hAnsi="Times New Roman" w:cs="Times New Roman"/>
                <w:sz w:val="20"/>
                <w:szCs w:val="20"/>
              </w:rPr>
              <w:t xml:space="preserve">The search was limited to the timeframe between January 2020 and March 2025. The purpose of this timeframe was to ensure the relevancy of the articles with regard to the topic of study and to ensure the rigor of the review. </w:t>
            </w:r>
          </w:p>
        </w:tc>
      </w:tr>
    </w:tbl>
    <w:p w14:paraId="3C67931B" w14:textId="77777777" w:rsidR="000C625F" w:rsidRDefault="000C625F" w:rsidP="000C625F"/>
    <w:p w14:paraId="72C8816C" w14:textId="6C83527D" w:rsidR="000C625F" w:rsidRPr="000C625F" w:rsidRDefault="000C625F" w:rsidP="000C625F">
      <w:pPr>
        <w:tabs>
          <w:tab w:val="left" w:pos="4830"/>
        </w:tabs>
      </w:pPr>
    </w:p>
    <w:p w14:paraId="5D212C20" w14:textId="77777777" w:rsidR="00231C92" w:rsidRDefault="00231C92" w:rsidP="006C5347">
      <w:pPr>
        <w:pStyle w:val="APALevel0"/>
        <w:sectPr w:rsidR="00231C92" w:rsidSect="00C130DF">
          <w:headerReference w:type="default" r:id="rId111"/>
          <w:footerReference w:type="default" r:id="rId112"/>
          <w:pgSz w:w="12240" w:h="15840" w:code="1"/>
          <w:pgMar w:top="1872" w:right="1440" w:bottom="1440" w:left="2160" w:header="1440" w:footer="1440" w:gutter="0"/>
          <w:cols w:space="720"/>
          <w:noEndnote/>
          <w:docGrid w:linePitch="360"/>
        </w:sectPr>
      </w:pPr>
      <w:bookmarkStart w:id="116" w:name="_Toc130372408"/>
    </w:p>
    <w:p w14:paraId="6BD054A8" w14:textId="42DBB40D" w:rsidR="00231C92" w:rsidRPr="00CF2D19" w:rsidRDefault="0072350B" w:rsidP="00CF2D19">
      <w:pPr>
        <w:pStyle w:val="APALevel0"/>
      </w:pPr>
      <w:r w:rsidRPr="00CF2D19">
        <w:lastRenderedPageBreak/>
        <w:t>Appendix</w:t>
      </w:r>
      <w:r w:rsidR="00B0324B" w:rsidRPr="00CF2D19">
        <w:t xml:space="preserve"> C</w:t>
      </w:r>
      <w:r w:rsidR="006C5347" w:rsidRPr="00CF2D19">
        <w:t xml:space="preserve">: </w:t>
      </w:r>
      <w:r w:rsidR="00305551" w:rsidRPr="00CF2D19">
        <w:t xml:space="preserve">DHA Appraisal </w:t>
      </w:r>
      <w:r w:rsidR="00C7035E" w:rsidRPr="00CF2D19">
        <w:t xml:space="preserve">Results </w:t>
      </w:r>
      <w:commentRangeStart w:id="117"/>
      <w:commentRangeStart w:id="118"/>
      <w:r w:rsidR="00C7035E" w:rsidRPr="00CF2D19">
        <w:t>Log</w:t>
      </w:r>
      <w:bookmarkEnd w:id="116"/>
      <w:commentRangeEnd w:id="117"/>
      <w:r w:rsidR="00613F56" w:rsidRPr="00CF2D19">
        <w:rPr>
          <w:rStyle w:val="CommentReference"/>
          <w:sz w:val="24"/>
          <w:szCs w:val="24"/>
        </w:rPr>
        <w:commentReference w:id="117"/>
      </w:r>
      <w:commentRangeEnd w:id="118"/>
      <w:r w:rsidR="00D010B3" w:rsidRPr="00CF2D19">
        <w:rPr>
          <w:rStyle w:val="CommentReference"/>
          <w:sz w:val="24"/>
          <w:szCs w:val="24"/>
        </w:rPr>
        <w:commentReference w:id="118"/>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566"/>
        <w:gridCol w:w="1395"/>
        <w:gridCol w:w="2659"/>
        <w:gridCol w:w="2461"/>
        <w:gridCol w:w="2306"/>
        <w:gridCol w:w="2131"/>
      </w:tblGrid>
      <w:tr w:rsidR="00B01F7C" w:rsidRPr="00775AAD" w14:paraId="538588E9" w14:textId="77777777" w:rsidTr="00EC3ABE">
        <w:trPr>
          <w:trHeight w:val="782"/>
          <w:tblHeader/>
        </w:trPr>
        <w:tc>
          <w:tcPr>
            <w:tcW w:w="625" w:type="pct"/>
            <w:vAlign w:val="bottom"/>
          </w:tcPr>
          <w:p w14:paraId="6D16BDB3" w14:textId="53DEEAB4" w:rsidR="00775AAD" w:rsidRPr="00775AAD" w:rsidRDefault="00345372">
            <w:pPr>
              <w:pStyle w:val="Heading1"/>
              <w:spacing w:before="0" w:after="0"/>
              <w:ind w:left="-105"/>
              <w:jc w:val="center"/>
              <w:rPr>
                <w:rFonts w:ascii="Times New Roman" w:hAnsi="Times New Roman"/>
                <w:color w:val="000000" w:themeColor="text1"/>
                <w:sz w:val="20"/>
                <w:szCs w:val="20"/>
              </w:rPr>
            </w:pPr>
            <w:r>
              <w:rPr>
                <w:rFonts w:ascii="ZWAdobeF" w:hAnsi="ZWAdobeF" w:cs="ZWAdobeF"/>
                <w:b w:val="0"/>
                <w:sz w:val="2"/>
                <w:szCs w:val="2"/>
              </w:rPr>
              <w:t>0B</w:t>
            </w:r>
            <w:r w:rsidR="00775AAD" w:rsidRPr="00775AAD">
              <w:rPr>
                <w:rFonts w:ascii="Times New Roman" w:hAnsi="Times New Roman"/>
                <w:color w:val="000000" w:themeColor="text1"/>
                <w:sz w:val="20"/>
                <w:szCs w:val="20"/>
              </w:rPr>
              <w:t>Author, date, and title</w:t>
            </w:r>
          </w:p>
        </w:tc>
        <w:tc>
          <w:tcPr>
            <w:tcW w:w="557" w:type="pct"/>
            <w:vAlign w:val="bottom"/>
          </w:tcPr>
          <w:p w14:paraId="1C7875CA" w14:textId="013470FA" w:rsidR="00775AAD" w:rsidRPr="00775AAD" w:rsidRDefault="00345372">
            <w:pPr>
              <w:pStyle w:val="Heading1"/>
              <w:spacing w:before="0" w:after="0"/>
              <w:jc w:val="center"/>
              <w:rPr>
                <w:rFonts w:ascii="Times New Roman" w:hAnsi="Times New Roman"/>
                <w:color w:val="000000" w:themeColor="text1"/>
                <w:sz w:val="20"/>
                <w:szCs w:val="20"/>
              </w:rPr>
            </w:pPr>
            <w:r>
              <w:rPr>
                <w:rFonts w:ascii="ZWAdobeF" w:hAnsi="ZWAdobeF" w:cs="ZWAdobeF"/>
                <w:b w:val="0"/>
                <w:sz w:val="2"/>
                <w:szCs w:val="2"/>
              </w:rPr>
              <w:t>1B</w:t>
            </w:r>
            <w:r w:rsidR="00775AAD" w:rsidRPr="00775AAD">
              <w:rPr>
                <w:rFonts w:ascii="Times New Roman" w:hAnsi="Times New Roman"/>
                <w:color w:val="000000" w:themeColor="text1"/>
                <w:sz w:val="20"/>
                <w:szCs w:val="20"/>
              </w:rPr>
              <w:t>Evidence level and quality rating</w:t>
            </w:r>
          </w:p>
        </w:tc>
        <w:tc>
          <w:tcPr>
            <w:tcW w:w="1062" w:type="pct"/>
            <w:vAlign w:val="bottom"/>
          </w:tcPr>
          <w:p w14:paraId="544B804D" w14:textId="59FAAFBB" w:rsidR="00775AAD" w:rsidRPr="00775AAD" w:rsidRDefault="00345372">
            <w:pPr>
              <w:pStyle w:val="Heading1"/>
              <w:spacing w:before="0" w:after="0"/>
              <w:jc w:val="center"/>
              <w:rPr>
                <w:rFonts w:ascii="Times New Roman" w:hAnsi="Times New Roman"/>
                <w:color w:val="000000" w:themeColor="text1"/>
                <w:sz w:val="20"/>
                <w:szCs w:val="20"/>
              </w:rPr>
            </w:pPr>
            <w:r>
              <w:rPr>
                <w:rFonts w:ascii="ZWAdobeF" w:hAnsi="ZWAdobeF" w:cs="ZWAdobeF"/>
                <w:b w:val="0"/>
                <w:sz w:val="2"/>
                <w:szCs w:val="2"/>
              </w:rPr>
              <w:t>2B</w:t>
            </w:r>
            <w:r w:rsidR="00775AAD" w:rsidRPr="00775AAD">
              <w:rPr>
                <w:rFonts w:ascii="Times New Roman" w:hAnsi="Times New Roman"/>
                <w:color w:val="000000" w:themeColor="text1"/>
                <w:sz w:val="20"/>
                <w:szCs w:val="20"/>
              </w:rPr>
              <w:t>Focus: HSO type, research domain, and specific problem being addressed</w:t>
            </w:r>
          </w:p>
        </w:tc>
        <w:tc>
          <w:tcPr>
            <w:tcW w:w="983" w:type="pct"/>
            <w:vAlign w:val="bottom"/>
          </w:tcPr>
          <w:p w14:paraId="6F85F378" w14:textId="2194868E" w:rsidR="00775AAD" w:rsidRPr="00775AAD" w:rsidRDefault="00345372">
            <w:pPr>
              <w:pStyle w:val="Heading1"/>
              <w:spacing w:before="0" w:after="0"/>
              <w:jc w:val="center"/>
              <w:rPr>
                <w:rFonts w:ascii="Times New Roman" w:hAnsi="Times New Roman"/>
                <w:color w:val="000000" w:themeColor="text1"/>
                <w:sz w:val="20"/>
                <w:szCs w:val="20"/>
              </w:rPr>
            </w:pPr>
            <w:r>
              <w:rPr>
                <w:rFonts w:ascii="ZWAdobeF" w:hAnsi="ZWAdobeF" w:cs="ZWAdobeF"/>
                <w:b w:val="0"/>
                <w:sz w:val="2"/>
                <w:szCs w:val="2"/>
              </w:rPr>
              <w:t>3B</w:t>
            </w:r>
            <w:r w:rsidR="00775AAD" w:rsidRPr="00775AAD">
              <w:rPr>
                <w:rFonts w:ascii="Times New Roman" w:hAnsi="Times New Roman"/>
                <w:color w:val="000000" w:themeColor="text1"/>
                <w:sz w:val="20"/>
                <w:szCs w:val="20"/>
              </w:rPr>
              <w:t>Findings that help answer the review question(s)</w:t>
            </w:r>
          </w:p>
        </w:tc>
        <w:tc>
          <w:tcPr>
            <w:tcW w:w="921" w:type="pct"/>
            <w:vAlign w:val="bottom"/>
          </w:tcPr>
          <w:p w14:paraId="00DA3936" w14:textId="6057C103" w:rsidR="00775AAD" w:rsidRPr="00775AAD" w:rsidRDefault="00345372">
            <w:pPr>
              <w:pStyle w:val="Heading1"/>
              <w:spacing w:before="0" w:after="0"/>
              <w:jc w:val="center"/>
              <w:rPr>
                <w:rFonts w:ascii="Times New Roman" w:hAnsi="Times New Roman"/>
                <w:color w:val="000000" w:themeColor="text1"/>
                <w:sz w:val="20"/>
                <w:szCs w:val="20"/>
              </w:rPr>
            </w:pPr>
            <w:r>
              <w:rPr>
                <w:rFonts w:ascii="ZWAdobeF" w:hAnsi="ZWAdobeF" w:cs="ZWAdobeF"/>
                <w:b w:val="0"/>
                <w:sz w:val="2"/>
                <w:szCs w:val="2"/>
              </w:rPr>
              <w:t>4B</w:t>
            </w:r>
            <w:r w:rsidR="00775AAD" w:rsidRPr="00775AAD">
              <w:rPr>
                <w:rFonts w:ascii="Times New Roman" w:hAnsi="Times New Roman"/>
                <w:color w:val="000000" w:themeColor="text1"/>
                <w:sz w:val="20"/>
                <w:szCs w:val="20"/>
              </w:rPr>
              <w:t>Metrics and measures</w:t>
            </w:r>
            <w:r w:rsidR="0076432A">
              <w:rPr>
                <w:rFonts w:ascii="Times New Roman" w:hAnsi="Times New Roman"/>
                <w:color w:val="000000" w:themeColor="text1"/>
                <w:sz w:val="20"/>
                <w:szCs w:val="20"/>
              </w:rPr>
              <w:t>,</w:t>
            </w:r>
            <w:r w:rsidR="00775AAD" w:rsidRPr="00775AAD">
              <w:rPr>
                <w:rFonts w:ascii="Times New Roman" w:hAnsi="Times New Roman"/>
                <w:color w:val="000000" w:themeColor="text1"/>
                <w:sz w:val="20"/>
                <w:szCs w:val="20"/>
              </w:rPr>
              <w:t xml:space="preserve"> if used</w:t>
            </w:r>
          </w:p>
        </w:tc>
        <w:tc>
          <w:tcPr>
            <w:tcW w:w="851" w:type="pct"/>
            <w:vAlign w:val="bottom"/>
          </w:tcPr>
          <w:p w14:paraId="4ED16E69" w14:textId="5D5D5376" w:rsidR="00775AAD" w:rsidRPr="00775AAD" w:rsidRDefault="00345372">
            <w:pPr>
              <w:pStyle w:val="Heading1"/>
              <w:spacing w:before="0" w:after="0"/>
              <w:jc w:val="center"/>
              <w:rPr>
                <w:rFonts w:ascii="Times New Roman" w:hAnsi="Times New Roman"/>
                <w:color w:val="000000" w:themeColor="text1"/>
                <w:sz w:val="20"/>
                <w:szCs w:val="20"/>
              </w:rPr>
            </w:pPr>
            <w:r>
              <w:rPr>
                <w:rFonts w:ascii="ZWAdobeF" w:hAnsi="ZWAdobeF" w:cs="ZWAdobeF" w:hint="eastAsia"/>
                <w:b w:val="0"/>
                <w:sz w:val="2"/>
                <w:szCs w:val="2"/>
              </w:rPr>
              <w:t>5B</w:t>
            </w:r>
            <w:r w:rsidR="00775AAD" w:rsidRPr="00775AAD">
              <w:rPr>
                <w:rFonts w:ascii="Times New Roman" w:hAnsi="Times New Roman"/>
                <w:color w:val="000000" w:themeColor="text1"/>
                <w:sz w:val="20"/>
                <w:szCs w:val="20"/>
              </w:rPr>
              <w:t>Source limitations</w:t>
            </w:r>
          </w:p>
        </w:tc>
      </w:tr>
      <w:tr w:rsidR="00B01F7C" w:rsidRPr="00775AAD" w14:paraId="1EBD1B8F" w14:textId="77777777" w:rsidTr="00EC3ABE">
        <w:trPr>
          <w:trHeight w:val="1011"/>
        </w:trPr>
        <w:tc>
          <w:tcPr>
            <w:tcW w:w="625" w:type="pct"/>
          </w:tcPr>
          <w:p w14:paraId="44E244FC" w14:textId="77777777" w:rsidR="00775AAD" w:rsidRPr="00775AAD" w:rsidRDefault="00775AAD">
            <w:pPr>
              <w:spacing w:after="200"/>
              <w:rPr>
                <w:rFonts w:eastAsia="Calibri"/>
                <w:color w:val="000000" w:themeColor="text1"/>
                <w:sz w:val="20"/>
                <w:szCs w:val="20"/>
              </w:rPr>
            </w:pPr>
            <w:r w:rsidRPr="00775AAD">
              <w:rPr>
                <w:color w:val="000000" w:themeColor="text1"/>
                <w:sz w:val="20"/>
                <w:szCs w:val="20"/>
              </w:rPr>
              <w:t xml:space="preserve">Al-Arkee, S., Mason, J., Lane, D. A., Fabritz, L., Chua, W., Haque, M. S., &amp; Jalal, Z. (2021). </w:t>
            </w:r>
          </w:p>
        </w:tc>
        <w:tc>
          <w:tcPr>
            <w:tcW w:w="557" w:type="pct"/>
          </w:tcPr>
          <w:p w14:paraId="377D586E" w14:textId="77777777" w:rsidR="00775AAD" w:rsidRPr="00775AAD" w:rsidRDefault="00775AAD">
            <w:pPr>
              <w:spacing w:after="200"/>
              <w:rPr>
                <w:color w:val="000000" w:themeColor="text1"/>
                <w:sz w:val="20"/>
                <w:szCs w:val="20"/>
              </w:rPr>
            </w:pPr>
            <w:r w:rsidRPr="00775AAD">
              <w:rPr>
                <w:color w:val="000000" w:themeColor="text1"/>
                <w:sz w:val="20"/>
                <w:szCs w:val="20"/>
              </w:rPr>
              <w:t>Level III</w:t>
            </w:r>
          </w:p>
          <w:p w14:paraId="41D39D98" w14:textId="3FC8ADEC" w:rsidR="00775AAD" w:rsidRPr="00775AAD" w:rsidRDefault="00775AAD">
            <w:pPr>
              <w:spacing w:after="200"/>
              <w:rPr>
                <w:color w:val="000000" w:themeColor="text1"/>
                <w:sz w:val="20"/>
                <w:szCs w:val="20"/>
              </w:rPr>
            </w:pPr>
            <w:r w:rsidRPr="00775AAD">
              <w:rPr>
                <w:color w:val="000000" w:themeColor="text1"/>
                <w:sz w:val="20"/>
                <w:szCs w:val="20"/>
              </w:rPr>
              <w:t>Quality</w:t>
            </w:r>
            <w:r>
              <w:rPr>
                <w:color w:val="000000" w:themeColor="text1"/>
                <w:sz w:val="20"/>
                <w:szCs w:val="20"/>
              </w:rPr>
              <w:t xml:space="preserve"> </w:t>
            </w:r>
            <w:r w:rsidRPr="00775AAD">
              <w:rPr>
                <w:color w:val="000000" w:themeColor="text1"/>
                <w:sz w:val="20"/>
                <w:szCs w:val="20"/>
              </w:rPr>
              <w:t>A/B (High/Good)</w:t>
            </w:r>
          </w:p>
          <w:p w14:paraId="6E51AA35" w14:textId="77777777" w:rsidR="00775AAD" w:rsidRPr="00775AAD" w:rsidRDefault="00775AAD">
            <w:pPr>
              <w:spacing w:after="200"/>
              <w:rPr>
                <w:color w:val="000000" w:themeColor="text1"/>
                <w:sz w:val="20"/>
                <w:szCs w:val="20"/>
              </w:rPr>
            </w:pPr>
          </w:p>
          <w:p w14:paraId="4DFB92DD" w14:textId="77777777" w:rsidR="00775AAD" w:rsidRPr="00775AAD" w:rsidRDefault="00775AAD">
            <w:pPr>
              <w:spacing w:after="200"/>
              <w:rPr>
                <w:rFonts w:eastAsia="Calibri"/>
                <w:color w:val="000000" w:themeColor="text1"/>
                <w:sz w:val="20"/>
                <w:szCs w:val="20"/>
              </w:rPr>
            </w:pPr>
          </w:p>
        </w:tc>
        <w:tc>
          <w:tcPr>
            <w:tcW w:w="1062" w:type="pct"/>
          </w:tcPr>
          <w:p w14:paraId="2F96E64D" w14:textId="10C50556" w:rsidR="00775AAD" w:rsidRPr="00775AAD" w:rsidRDefault="00775AAD" w:rsidP="00775AAD">
            <w:pPr>
              <w:spacing w:after="200"/>
              <w:rPr>
                <w:rFonts w:eastAsia="Calibri"/>
                <w:color w:val="000000" w:themeColor="text1"/>
                <w:sz w:val="20"/>
                <w:szCs w:val="20"/>
              </w:rPr>
            </w:pPr>
            <w:r w:rsidRPr="00775AAD">
              <w:rPr>
                <w:sz w:val="20"/>
                <w:szCs w:val="20"/>
              </w:rPr>
              <w:t xml:space="preserve">The Cochrane risk of bias tool was used to assess 16 randomized controlled trials (RCTs), and a meta-analysis was performed for clinical outcomes, identifying 12 RCTs that reported medication adherence. </w:t>
            </w:r>
          </w:p>
        </w:tc>
        <w:tc>
          <w:tcPr>
            <w:tcW w:w="983" w:type="pct"/>
          </w:tcPr>
          <w:p w14:paraId="4B0DDCAE" w14:textId="77777777" w:rsidR="00775AAD" w:rsidRPr="00775AAD" w:rsidRDefault="00775AAD">
            <w:pPr>
              <w:spacing w:after="200"/>
              <w:rPr>
                <w:rFonts w:eastAsia="Calibri"/>
                <w:color w:val="000000" w:themeColor="text1"/>
                <w:sz w:val="20"/>
                <w:szCs w:val="20"/>
              </w:rPr>
            </w:pPr>
            <w:r w:rsidRPr="00775AAD">
              <w:rPr>
                <w:color w:val="000000" w:themeColor="text1"/>
                <w:sz w:val="20"/>
                <w:szCs w:val="20"/>
              </w:rPr>
              <w:t>Theme Three: Web-based management programs can improve medication adherence and reduce operational costs to medical clinics.</w:t>
            </w:r>
          </w:p>
        </w:tc>
        <w:tc>
          <w:tcPr>
            <w:tcW w:w="921" w:type="pct"/>
          </w:tcPr>
          <w:p w14:paraId="6DD7EEB4" w14:textId="77777777" w:rsidR="00775AAD" w:rsidRPr="00775AAD" w:rsidRDefault="00775AAD">
            <w:pPr>
              <w:spacing w:after="200"/>
              <w:rPr>
                <w:rFonts w:eastAsia="Calibri"/>
                <w:color w:val="000000" w:themeColor="text1"/>
                <w:sz w:val="20"/>
                <w:szCs w:val="20"/>
              </w:rPr>
            </w:pPr>
            <w:r w:rsidRPr="00775AAD">
              <w:rPr>
                <w:color w:val="000000" w:themeColor="text1"/>
                <w:sz w:val="20"/>
                <w:szCs w:val="20"/>
              </w:rPr>
              <w:t>PRISMA</w:t>
            </w:r>
          </w:p>
        </w:tc>
        <w:tc>
          <w:tcPr>
            <w:tcW w:w="851" w:type="pct"/>
          </w:tcPr>
          <w:p w14:paraId="0FED5406" w14:textId="77777777" w:rsidR="00775AAD" w:rsidRPr="00775AAD" w:rsidRDefault="00775AAD">
            <w:pPr>
              <w:spacing w:after="200"/>
              <w:rPr>
                <w:color w:val="000000" w:themeColor="text1"/>
                <w:sz w:val="20"/>
                <w:szCs w:val="20"/>
              </w:rPr>
            </w:pPr>
            <w:r w:rsidRPr="00775AAD">
              <w:rPr>
                <w:color w:val="000000" w:themeColor="text1"/>
                <w:sz w:val="20"/>
                <w:szCs w:val="20"/>
              </w:rPr>
              <w:t>Ill-defined usability and effectiveness in app characteristics.</w:t>
            </w:r>
          </w:p>
        </w:tc>
      </w:tr>
      <w:tr w:rsidR="00EC3ABE" w:rsidRPr="00775AAD" w14:paraId="0AE082E1" w14:textId="77777777" w:rsidTr="00EC3ABE">
        <w:trPr>
          <w:trHeight w:val="1011"/>
        </w:trPr>
        <w:tc>
          <w:tcPr>
            <w:tcW w:w="625" w:type="pct"/>
          </w:tcPr>
          <w:p w14:paraId="57D70B53" w14:textId="77777777" w:rsidR="00EC3ABE" w:rsidRPr="008F02C4" w:rsidRDefault="00EC3ABE" w:rsidP="00EC3ABE">
            <w:pPr>
              <w:spacing w:after="200"/>
              <w:ind w:hanging="2"/>
              <w:rPr>
                <w:sz w:val="20"/>
                <w:szCs w:val="20"/>
                <w:lang w:val="es-ES"/>
              </w:rPr>
            </w:pPr>
            <w:r w:rsidRPr="008F02C4">
              <w:rPr>
                <w:sz w:val="20"/>
                <w:szCs w:val="20"/>
                <w:lang w:val="es-ES"/>
              </w:rPr>
              <w:t>Babel, A., Taneja, R., Mondello Malvestiti, F., Monaco, A., &amp; Donde, S. (2021).</w:t>
            </w:r>
          </w:p>
          <w:p w14:paraId="6FDA48D7" w14:textId="77777777" w:rsidR="00EC3ABE" w:rsidRPr="008F02C4" w:rsidRDefault="00EC3ABE" w:rsidP="00EC3ABE">
            <w:pPr>
              <w:spacing w:after="200"/>
              <w:rPr>
                <w:rFonts w:eastAsia="Calibri"/>
                <w:color w:val="000000" w:themeColor="text1"/>
                <w:sz w:val="20"/>
                <w:szCs w:val="20"/>
                <w:lang w:val="es-ES"/>
              </w:rPr>
            </w:pPr>
          </w:p>
        </w:tc>
        <w:tc>
          <w:tcPr>
            <w:tcW w:w="557" w:type="pct"/>
          </w:tcPr>
          <w:p w14:paraId="24294A35" w14:textId="77777777"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Level III</w:t>
            </w:r>
          </w:p>
          <w:p w14:paraId="12A37493" w14:textId="77777777" w:rsidR="00EC3ABE" w:rsidRDefault="00EC3ABE" w:rsidP="00EC3ABE">
            <w:pPr>
              <w:spacing w:after="200"/>
              <w:rPr>
                <w:rFonts w:eastAsia="Calibri"/>
                <w:color w:val="000000" w:themeColor="text1"/>
                <w:sz w:val="20"/>
                <w:szCs w:val="20"/>
              </w:rPr>
            </w:pPr>
            <w:r w:rsidRPr="00775AAD">
              <w:rPr>
                <w:rFonts w:eastAsia="Calibri"/>
                <w:color w:val="000000" w:themeColor="text1"/>
                <w:sz w:val="20"/>
                <w:szCs w:val="20"/>
              </w:rPr>
              <w:t xml:space="preserve">Quality A/B </w:t>
            </w:r>
          </w:p>
          <w:p w14:paraId="26666954" w14:textId="68C61869"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(High/Good)</w:t>
            </w:r>
          </w:p>
        </w:tc>
        <w:tc>
          <w:tcPr>
            <w:tcW w:w="1062" w:type="pct"/>
          </w:tcPr>
          <w:p w14:paraId="41E38A57" w14:textId="77777777" w:rsidR="00EC3ABE" w:rsidRPr="00775AAD" w:rsidRDefault="00EC3ABE" w:rsidP="00EC3ABE">
            <w:pPr>
              <w:spacing w:after="200"/>
              <w:rPr>
                <w:rFonts w:eastAsia="Calibri"/>
                <w:color w:val="000000" w:themeColor="text1"/>
                <w:sz w:val="20"/>
                <w:szCs w:val="20"/>
              </w:rPr>
            </w:pPr>
            <w:r w:rsidRPr="00775AAD">
              <w:rPr>
                <w:sz w:val="20"/>
                <w:szCs w:val="20"/>
              </w:rPr>
              <w:t>Inclusion criteria for the search terms were used to select articles from scholarly databases relevant to the study.</w:t>
            </w:r>
          </w:p>
        </w:tc>
        <w:tc>
          <w:tcPr>
            <w:tcW w:w="983" w:type="pct"/>
          </w:tcPr>
          <w:p w14:paraId="7A3F3264" w14:textId="5C86AA3B" w:rsidR="00EC3ABE" w:rsidRPr="00775AAD" w:rsidRDefault="00EC3ABE" w:rsidP="00EC3ABE">
            <w:pPr>
              <w:spacing w:after="200"/>
              <w:rPr>
                <w:rFonts w:eastAsia="Calibri"/>
                <w:color w:val="000000" w:themeColor="text1"/>
                <w:sz w:val="20"/>
                <w:szCs w:val="20"/>
              </w:rPr>
            </w:pPr>
            <w:r w:rsidRPr="00775AAD">
              <w:rPr>
                <w:sz w:val="20"/>
                <w:szCs w:val="20"/>
              </w:rPr>
              <w:t xml:space="preserve">Theme Three: Web-based management programs can improve medication adherence and reduce operational costs to medical clinics. </w:t>
            </w:r>
          </w:p>
        </w:tc>
        <w:tc>
          <w:tcPr>
            <w:tcW w:w="921" w:type="pct"/>
          </w:tcPr>
          <w:p w14:paraId="657D3092" w14:textId="77777777" w:rsidR="00EC3ABE" w:rsidRPr="00775AAD" w:rsidRDefault="00EC3ABE" w:rsidP="00EC3ABE">
            <w:pPr>
              <w:spacing w:after="200"/>
              <w:rPr>
                <w:rFonts w:eastAsia="Calibri"/>
                <w:color w:val="000000" w:themeColor="text1"/>
                <w:sz w:val="20"/>
                <w:szCs w:val="20"/>
              </w:rPr>
            </w:pPr>
            <w:r w:rsidRPr="00775AAD">
              <w:rPr>
                <w:color w:val="000000" w:themeColor="text1"/>
                <w:sz w:val="20"/>
                <w:szCs w:val="20"/>
              </w:rPr>
              <w:t>PRISMA</w:t>
            </w:r>
          </w:p>
        </w:tc>
        <w:tc>
          <w:tcPr>
            <w:tcW w:w="851" w:type="pct"/>
          </w:tcPr>
          <w:p w14:paraId="0EBD2FD4" w14:textId="77777777" w:rsidR="00EC3ABE" w:rsidRPr="00775AAD" w:rsidRDefault="00EC3ABE" w:rsidP="00EC3ABE">
            <w:pPr>
              <w:spacing w:after="200"/>
              <w:rPr>
                <w:rFonts w:eastAsia="Calibri"/>
                <w:color w:val="000000" w:themeColor="text1"/>
                <w:sz w:val="20"/>
                <w:szCs w:val="20"/>
              </w:rPr>
            </w:pPr>
            <w:r w:rsidRPr="00775AAD">
              <w:rPr>
                <w:color w:val="282828"/>
                <w:sz w:val="20"/>
                <w:szCs w:val="20"/>
                <w:shd w:val="clear" w:color="auto" w:fill="F7F7F7"/>
              </w:rPr>
              <w:t>The use of AI in medication adherence during the COVID-19 pandemic was not the focus of our paper, and the current literature does not reflect the potentially rapid advancement of AI-assisted technology.</w:t>
            </w:r>
          </w:p>
        </w:tc>
      </w:tr>
      <w:tr w:rsidR="00EC3ABE" w:rsidRPr="00775AAD" w14:paraId="335DD308" w14:textId="77777777" w:rsidTr="00EC3ABE">
        <w:trPr>
          <w:trHeight w:val="728"/>
        </w:trPr>
        <w:tc>
          <w:tcPr>
            <w:tcW w:w="625" w:type="pct"/>
          </w:tcPr>
          <w:p w14:paraId="6209A151" w14:textId="77777777" w:rsidR="00EC3ABE" w:rsidRPr="00775AAD" w:rsidRDefault="00EC3ABE" w:rsidP="00EC3ABE">
            <w:pPr>
              <w:spacing w:after="200"/>
              <w:rPr>
                <w:sz w:val="20"/>
                <w:szCs w:val="20"/>
              </w:rPr>
            </w:pPr>
            <w:r w:rsidRPr="00775AAD">
              <w:rPr>
                <w:sz w:val="20"/>
                <w:szCs w:val="20"/>
              </w:rPr>
              <w:t xml:space="preserve">Baryakova, T. H., Pogostin, B. H., Langer, R., &amp; McHugh, K. J. (2023). </w:t>
            </w:r>
          </w:p>
          <w:p w14:paraId="267E8761" w14:textId="77777777" w:rsidR="00EC3ABE" w:rsidRPr="00775AAD" w:rsidRDefault="00EC3ABE" w:rsidP="00EC3ABE">
            <w:pPr>
              <w:spacing w:after="200"/>
              <w:rPr>
                <w:rFonts w:eastAsia="Calibri"/>
                <w:color w:val="000000" w:themeColor="text1"/>
                <w:sz w:val="20"/>
                <w:szCs w:val="20"/>
              </w:rPr>
            </w:pPr>
          </w:p>
        </w:tc>
        <w:tc>
          <w:tcPr>
            <w:tcW w:w="557" w:type="pct"/>
          </w:tcPr>
          <w:p w14:paraId="5F1C5DBE" w14:textId="77777777" w:rsidR="00EC3ABE" w:rsidRPr="00775AAD" w:rsidRDefault="00EC3ABE" w:rsidP="00EC3ABE">
            <w:pPr>
              <w:spacing w:after="200"/>
              <w:rPr>
                <w:color w:val="000000" w:themeColor="text1"/>
                <w:sz w:val="20"/>
                <w:szCs w:val="20"/>
              </w:rPr>
            </w:pPr>
            <w:r w:rsidRPr="00775AAD">
              <w:rPr>
                <w:color w:val="000000" w:themeColor="text1"/>
                <w:sz w:val="20"/>
                <w:szCs w:val="20"/>
              </w:rPr>
              <w:t>Level III</w:t>
            </w:r>
          </w:p>
          <w:p w14:paraId="433AB5CA" w14:textId="120BCFA3" w:rsidR="00EC3ABE" w:rsidRPr="00775AAD" w:rsidRDefault="00EC3ABE" w:rsidP="00EC3ABE">
            <w:pPr>
              <w:spacing w:after="200"/>
              <w:rPr>
                <w:rFonts w:eastAsia="Calibri"/>
                <w:color w:val="000000" w:themeColor="text1"/>
                <w:sz w:val="20"/>
                <w:szCs w:val="20"/>
              </w:rPr>
            </w:pPr>
            <w:r w:rsidRPr="00775AAD">
              <w:rPr>
                <w:color w:val="000000" w:themeColor="text1"/>
                <w:sz w:val="20"/>
                <w:szCs w:val="20"/>
              </w:rPr>
              <w:t>Quality</w:t>
            </w:r>
            <w:r>
              <w:rPr>
                <w:color w:val="000000" w:themeColor="text1"/>
                <w:sz w:val="20"/>
                <w:szCs w:val="20"/>
              </w:rPr>
              <w:t xml:space="preserve"> </w:t>
            </w:r>
            <w:r w:rsidRPr="00775AAD">
              <w:rPr>
                <w:color w:val="000000" w:themeColor="text1"/>
                <w:sz w:val="20"/>
                <w:szCs w:val="20"/>
              </w:rPr>
              <w:t>A/B (High/Good)</w:t>
            </w:r>
          </w:p>
        </w:tc>
        <w:tc>
          <w:tcPr>
            <w:tcW w:w="1062" w:type="pct"/>
          </w:tcPr>
          <w:p w14:paraId="3FE41FCF" w14:textId="290134A1"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Formulating</w:t>
            </w:r>
            <w:r>
              <w:rPr>
                <w:rFonts w:ascii="Times New Roman" w:hAnsi="Times New Roman" w:cs="Times New Roman"/>
                <w:sz w:val="20"/>
                <w:szCs w:val="20"/>
              </w:rPr>
              <w:t xml:space="preserve"> a</w:t>
            </w:r>
            <w:r w:rsidRPr="00775AAD">
              <w:rPr>
                <w:rFonts w:ascii="Times New Roman" w:hAnsi="Times New Roman" w:cs="Times New Roman"/>
                <w:sz w:val="20"/>
                <w:szCs w:val="20"/>
              </w:rPr>
              <w:t xml:space="preserve"> pharmaceutical in a drug delivery system (DDS) is a promising alternative that can directly mitigate many common impediments to</w:t>
            </w:r>
            <w:r>
              <w:rPr>
                <w:rFonts w:ascii="Times New Roman" w:hAnsi="Times New Roman" w:cs="Times New Roman"/>
                <w:sz w:val="20"/>
                <w:szCs w:val="20"/>
              </w:rPr>
              <w:t xml:space="preserve"> </w:t>
            </w:r>
            <w:r w:rsidRPr="00775AAD">
              <w:rPr>
                <w:rFonts w:ascii="Times New Roman" w:hAnsi="Times New Roman" w:cs="Times New Roman"/>
                <w:sz w:val="20"/>
                <w:szCs w:val="20"/>
              </w:rPr>
              <w:t>adherence, including frequent dosing, adverse effects, and delayed</w:t>
            </w:r>
            <w:r>
              <w:rPr>
                <w:rFonts w:ascii="Times New Roman" w:hAnsi="Times New Roman" w:cs="Times New Roman"/>
                <w:sz w:val="20"/>
                <w:szCs w:val="20"/>
              </w:rPr>
              <w:t xml:space="preserve"> </w:t>
            </w:r>
            <w:r w:rsidRPr="00775AAD">
              <w:rPr>
                <w:rFonts w:ascii="Times New Roman" w:hAnsi="Times New Roman" w:cs="Times New Roman"/>
                <w:sz w:val="20"/>
                <w:szCs w:val="20"/>
              </w:rPr>
              <w:t>onset of action.</w:t>
            </w:r>
          </w:p>
        </w:tc>
        <w:tc>
          <w:tcPr>
            <w:tcW w:w="983" w:type="pct"/>
          </w:tcPr>
          <w:p w14:paraId="0C698112" w14:textId="3689A452" w:rsidR="00EC3ABE" w:rsidRPr="00775AAD" w:rsidRDefault="00EC3ABE" w:rsidP="00EC3ABE">
            <w:pPr>
              <w:pStyle w:val="p1"/>
              <w:spacing w:after="200" w:line="240" w:lineRule="auto"/>
              <w:rPr>
                <w:rFonts w:ascii="Times New Roman" w:eastAsia="Calibri" w:hAnsi="Times New Roman" w:cs="Times New Roman"/>
                <w:color w:val="000000" w:themeColor="text1"/>
                <w:sz w:val="20"/>
                <w:szCs w:val="20"/>
              </w:rPr>
            </w:pPr>
            <w:r w:rsidRPr="00775AAD">
              <w:rPr>
                <w:rFonts w:ascii="Times New Roman" w:hAnsi="Times New Roman" w:cs="Times New Roman"/>
                <w:sz w:val="20"/>
                <w:szCs w:val="20"/>
              </w:rPr>
              <w:t>The next generation of systems has</w:t>
            </w:r>
            <w:r>
              <w:rPr>
                <w:rFonts w:ascii="Times New Roman" w:hAnsi="Times New Roman" w:cs="Times New Roman"/>
                <w:sz w:val="20"/>
                <w:szCs w:val="20"/>
              </w:rPr>
              <w:t xml:space="preserve"> </w:t>
            </w:r>
            <w:r w:rsidRPr="00775AAD">
              <w:rPr>
                <w:rFonts w:ascii="Times New Roman" w:hAnsi="Times New Roman" w:cs="Times New Roman"/>
                <w:sz w:val="20"/>
                <w:szCs w:val="20"/>
              </w:rPr>
              <w:t>the potential to instate an even more radical paradigm shift by, for</w:t>
            </w:r>
            <w:r>
              <w:rPr>
                <w:rFonts w:ascii="Times New Roman" w:hAnsi="Times New Roman" w:cs="Times New Roman"/>
                <w:sz w:val="20"/>
                <w:szCs w:val="20"/>
              </w:rPr>
              <w:t xml:space="preserve"> </w:t>
            </w:r>
            <w:r w:rsidRPr="00775AAD">
              <w:rPr>
                <w:rFonts w:ascii="Times New Roman" w:hAnsi="Times New Roman" w:cs="Times New Roman"/>
                <w:sz w:val="20"/>
                <w:szCs w:val="20"/>
              </w:rPr>
              <w:t>example, permitting oral delivery of biomacromolecules, allowing</w:t>
            </w:r>
            <w:r>
              <w:rPr>
                <w:rFonts w:ascii="Times New Roman" w:hAnsi="Times New Roman" w:cs="Times New Roman"/>
                <w:sz w:val="20"/>
                <w:szCs w:val="20"/>
              </w:rPr>
              <w:t xml:space="preserve"> </w:t>
            </w:r>
            <w:r w:rsidRPr="00775AAD">
              <w:rPr>
                <w:rFonts w:ascii="Times New Roman" w:hAnsi="Times New Roman" w:cs="Times New Roman"/>
                <w:sz w:val="20"/>
                <w:szCs w:val="20"/>
              </w:rPr>
              <w:t>for autonomous dose regulation and enabling several doses to be</w:t>
            </w:r>
            <w:r>
              <w:rPr>
                <w:rFonts w:ascii="Times New Roman" w:hAnsi="Times New Roman" w:cs="Times New Roman"/>
                <w:sz w:val="20"/>
                <w:szCs w:val="20"/>
              </w:rPr>
              <w:t xml:space="preserve"> </w:t>
            </w:r>
            <w:r w:rsidRPr="00775AAD">
              <w:rPr>
                <w:rFonts w:ascii="Times New Roman" w:hAnsi="Times New Roman" w:cs="Times New Roman"/>
                <w:sz w:val="20"/>
                <w:szCs w:val="20"/>
              </w:rPr>
              <w:lastRenderedPageBreak/>
              <w:t xml:space="preserve">mimicked with a single administration. </w:t>
            </w:r>
          </w:p>
        </w:tc>
        <w:tc>
          <w:tcPr>
            <w:tcW w:w="921" w:type="pct"/>
          </w:tcPr>
          <w:p w14:paraId="468949FC" w14:textId="77777777" w:rsidR="00EC3ABE" w:rsidRPr="00775AAD" w:rsidRDefault="00EC3ABE" w:rsidP="00EC3ABE">
            <w:pPr>
              <w:spacing w:after="200"/>
              <w:rPr>
                <w:rFonts w:eastAsia="Calibri"/>
                <w:color w:val="000000" w:themeColor="text1"/>
                <w:sz w:val="20"/>
                <w:szCs w:val="20"/>
              </w:rPr>
            </w:pPr>
            <w:r w:rsidRPr="00775AAD">
              <w:rPr>
                <w:color w:val="000000" w:themeColor="text1"/>
                <w:sz w:val="20"/>
                <w:szCs w:val="20"/>
              </w:rPr>
              <w:lastRenderedPageBreak/>
              <w:t xml:space="preserve">Narrative Review </w:t>
            </w:r>
          </w:p>
        </w:tc>
        <w:tc>
          <w:tcPr>
            <w:tcW w:w="851" w:type="pct"/>
          </w:tcPr>
          <w:p w14:paraId="1BE8219A" w14:textId="77777777" w:rsidR="00EC3ABE" w:rsidRPr="00775AAD" w:rsidRDefault="00EC3ABE" w:rsidP="00EC3ABE">
            <w:pPr>
              <w:spacing w:after="200"/>
              <w:rPr>
                <w:rFonts w:eastAsia="Calibri"/>
                <w:color w:val="000000" w:themeColor="text1"/>
                <w:sz w:val="20"/>
                <w:szCs w:val="20"/>
              </w:rPr>
            </w:pPr>
            <w:r w:rsidRPr="00775AAD">
              <w:rPr>
                <w:color w:val="000000" w:themeColor="text1"/>
                <w:sz w:val="20"/>
                <w:szCs w:val="20"/>
              </w:rPr>
              <w:t>Restricted to a narrative review alone.</w:t>
            </w:r>
          </w:p>
        </w:tc>
      </w:tr>
      <w:tr w:rsidR="00EC3ABE" w:rsidRPr="00775AAD" w14:paraId="278D50B3" w14:textId="77777777" w:rsidTr="00EC3ABE">
        <w:trPr>
          <w:trHeight w:val="1011"/>
        </w:trPr>
        <w:tc>
          <w:tcPr>
            <w:tcW w:w="625" w:type="pct"/>
          </w:tcPr>
          <w:p w14:paraId="3175BBB0" w14:textId="77777777" w:rsidR="00EC3ABE" w:rsidRPr="00775AAD" w:rsidRDefault="00EC3ABE" w:rsidP="00EC3ABE">
            <w:pPr>
              <w:spacing w:after="200"/>
              <w:rPr>
                <w:rFonts w:eastAsia="Calibri"/>
                <w:color w:val="000000" w:themeColor="text1"/>
                <w:sz w:val="20"/>
                <w:szCs w:val="20"/>
              </w:rPr>
            </w:pPr>
            <w:r w:rsidRPr="00775AAD">
              <w:rPr>
                <w:sz w:val="20"/>
                <w:szCs w:val="20"/>
              </w:rPr>
              <w:t xml:space="preserve">Booth, R. G., Strudwick, G., McBride, S., O’Connor, S., &amp; Solano López, A. L. (2021). </w:t>
            </w:r>
          </w:p>
        </w:tc>
        <w:tc>
          <w:tcPr>
            <w:tcW w:w="557" w:type="pct"/>
          </w:tcPr>
          <w:p w14:paraId="0CAE2A5A" w14:textId="77777777" w:rsidR="00EC3ABE" w:rsidRPr="00775AAD" w:rsidRDefault="00EC3ABE" w:rsidP="00EC3ABE">
            <w:pPr>
              <w:spacing w:after="200"/>
              <w:rPr>
                <w:color w:val="000000" w:themeColor="text1"/>
                <w:sz w:val="20"/>
                <w:szCs w:val="20"/>
              </w:rPr>
            </w:pPr>
            <w:r w:rsidRPr="00775AAD">
              <w:rPr>
                <w:color w:val="000000" w:themeColor="text1"/>
                <w:sz w:val="20"/>
                <w:szCs w:val="20"/>
              </w:rPr>
              <w:t>Level III</w:t>
            </w:r>
          </w:p>
          <w:p w14:paraId="5AB713BE" w14:textId="0B48D1E0" w:rsidR="00EC3ABE" w:rsidRPr="00775AAD" w:rsidRDefault="00EC3ABE" w:rsidP="00EC3ABE">
            <w:pPr>
              <w:spacing w:after="200"/>
              <w:rPr>
                <w:color w:val="000000" w:themeColor="text1"/>
                <w:sz w:val="20"/>
                <w:szCs w:val="20"/>
              </w:rPr>
            </w:pPr>
            <w:r w:rsidRPr="00775AAD">
              <w:rPr>
                <w:color w:val="000000" w:themeColor="text1"/>
                <w:sz w:val="20"/>
                <w:szCs w:val="20"/>
              </w:rPr>
              <w:t>Quality</w:t>
            </w:r>
            <w:r>
              <w:rPr>
                <w:color w:val="000000" w:themeColor="text1"/>
                <w:sz w:val="20"/>
                <w:szCs w:val="20"/>
              </w:rPr>
              <w:t xml:space="preserve"> </w:t>
            </w:r>
            <w:r w:rsidRPr="00775AAD">
              <w:rPr>
                <w:color w:val="000000" w:themeColor="text1"/>
                <w:sz w:val="20"/>
                <w:szCs w:val="20"/>
              </w:rPr>
              <w:t>A/B</w:t>
            </w:r>
            <w:r>
              <w:rPr>
                <w:color w:val="000000" w:themeColor="text1"/>
                <w:sz w:val="20"/>
                <w:szCs w:val="20"/>
              </w:rPr>
              <w:t xml:space="preserve"> </w:t>
            </w:r>
            <w:r w:rsidRPr="00775AAD">
              <w:rPr>
                <w:color w:val="000000" w:themeColor="text1"/>
                <w:sz w:val="20"/>
                <w:szCs w:val="20"/>
              </w:rPr>
              <w:t>(High/Good)</w:t>
            </w:r>
          </w:p>
        </w:tc>
        <w:tc>
          <w:tcPr>
            <w:tcW w:w="1062" w:type="pct"/>
          </w:tcPr>
          <w:p w14:paraId="0D981E1E" w14:textId="4D184199" w:rsidR="00EC3ABE" w:rsidRPr="00775AAD" w:rsidRDefault="00EC3ABE" w:rsidP="00EC3ABE">
            <w:pPr>
              <w:pStyle w:val="p1"/>
              <w:spacing w:after="200" w:line="240" w:lineRule="auto"/>
              <w:rPr>
                <w:rFonts w:ascii="Times New Roman" w:eastAsia="Calibri" w:hAnsi="Times New Roman" w:cs="Times New Roman"/>
                <w:color w:val="000000" w:themeColor="text1"/>
                <w:sz w:val="20"/>
                <w:szCs w:val="20"/>
              </w:rPr>
            </w:pPr>
            <w:r w:rsidRPr="00775AAD">
              <w:rPr>
                <w:rFonts w:ascii="Times New Roman" w:hAnsi="Times New Roman" w:cs="Times New Roman"/>
                <w:sz w:val="20"/>
                <w:szCs w:val="20"/>
              </w:rPr>
              <w:t>Nurses entering the profession today will undoubtedly witness</w:t>
            </w:r>
            <w:r>
              <w:rPr>
                <w:rFonts w:ascii="Times New Roman" w:hAnsi="Times New Roman" w:cs="Times New Roman"/>
                <w:sz w:val="20"/>
                <w:szCs w:val="20"/>
              </w:rPr>
              <w:t xml:space="preserve"> </w:t>
            </w:r>
            <w:r w:rsidRPr="00775AAD">
              <w:rPr>
                <w:rFonts w:ascii="Times New Roman" w:hAnsi="Times New Roman" w:cs="Times New Roman"/>
                <w:sz w:val="20"/>
                <w:szCs w:val="20"/>
              </w:rPr>
              <w:t>substantive disruption and change from digital technology by the</w:t>
            </w:r>
            <w:r>
              <w:rPr>
                <w:rFonts w:ascii="Times New Roman" w:hAnsi="Times New Roman" w:cs="Times New Roman"/>
                <w:sz w:val="20"/>
                <w:szCs w:val="20"/>
              </w:rPr>
              <w:t xml:space="preserve"> </w:t>
            </w:r>
            <w:r w:rsidRPr="00775AAD">
              <w:rPr>
                <w:rFonts w:ascii="Times New Roman" w:hAnsi="Times New Roman" w:cs="Times New Roman"/>
                <w:sz w:val="20"/>
                <w:szCs w:val="20"/>
              </w:rPr>
              <w:t>time they are mid-career</w:t>
            </w:r>
            <w:r>
              <w:rPr>
                <w:rFonts w:ascii="Times New Roman" w:hAnsi="Times New Roman" w:cs="Times New Roman"/>
                <w:sz w:val="20"/>
                <w:szCs w:val="20"/>
              </w:rPr>
              <w:t xml:space="preserve"> </w:t>
            </w:r>
            <w:r w:rsidRPr="00775AAD">
              <w:rPr>
                <w:rFonts w:ascii="Times New Roman" w:hAnsi="Times New Roman" w:cs="Times New Roman"/>
                <w:color w:val="000000" w:themeColor="text1"/>
                <w:sz w:val="20"/>
                <w:szCs w:val="20"/>
              </w:rPr>
              <w:t>er text</w:t>
            </w:r>
          </w:p>
        </w:tc>
        <w:tc>
          <w:tcPr>
            <w:tcW w:w="983" w:type="pct"/>
          </w:tcPr>
          <w:p w14:paraId="21ABF8C7" w14:textId="02BFD80B" w:rsidR="00EC3ABE" w:rsidRPr="00775AAD" w:rsidRDefault="00EC3ABE" w:rsidP="00EC3ABE">
            <w:pPr>
              <w:pStyle w:val="p1"/>
              <w:spacing w:after="200" w:line="240" w:lineRule="auto"/>
              <w:rPr>
                <w:rFonts w:ascii="Times New Roman" w:eastAsia="Calibri" w:hAnsi="Times New Roman" w:cs="Times New Roman"/>
                <w:color w:val="000000" w:themeColor="text1"/>
                <w:sz w:val="20"/>
                <w:szCs w:val="20"/>
              </w:rPr>
            </w:pPr>
            <w:r w:rsidRPr="00775AAD">
              <w:rPr>
                <w:rFonts w:ascii="Times New Roman" w:hAnsi="Times New Roman" w:cs="Times New Roman"/>
                <w:sz w:val="20"/>
                <w:szCs w:val="20"/>
              </w:rPr>
              <w:t>Without proactive strategic self-reflection, planning,</w:t>
            </w:r>
            <w:r>
              <w:rPr>
                <w:rFonts w:ascii="Times New Roman" w:hAnsi="Times New Roman" w:cs="Times New Roman"/>
                <w:sz w:val="20"/>
                <w:szCs w:val="20"/>
              </w:rPr>
              <w:t xml:space="preserve"> </w:t>
            </w:r>
            <w:r w:rsidRPr="00775AAD">
              <w:rPr>
                <w:rFonts w:ascii="Times New Roman" w:hAnsi="Times New Roman" w:cs="Times New Roman"/>
                <w:sz w:val="20"/>
                <w:szCs w:val="20"/>
              </w:rPr>
              <w:t>and action, nursing will fail to control its trajectory across the chasm</w:t>
            </w:r>
            <w:r>
              <w:rPr>
                <w:rFonts w:ascii="Times New Roman" w:hAnsi="Times New Roman" w:cs="Times New Roman"/>
                <w:sz w:val="20"/>
                <w:szCs w:val="20"/>
              </w:rPr>
              <w:t xml:space="preserve"> </w:t>
            </w:r>
            <w:r w:rsidRPr="00775AAD">
              <w:rPr>
                <w:rFonts w:ascii="Times New Roman" w:hAnsi="Times New Roman" w:cs="Times New Roman"/>
                <w:sz w:val="20"/>
                <w:szCs w:val="20"/>
              </w:rPr>
              <w:t>separating the past, present, and future of practice.</w:t>
            </w:r>
          </w:p>
        </w:tc>
        <w:tc>
          <w:tcPr>
            <w:tcW w:w="921" w:type="pct"/>
          </w:tcPr>
          <w:p w14:paraId="5D73AD6D" w14:textId="77777777" w:rsidR="00EC3ABE" w:rsidRPr="00775AAD" w:rsidRDefault="00EC3ABE" w:rsidP="00EC3ABE">
            <w:pPr>
              <w:spacing w:after="200"/>
              <w:rPr>
                <w:rFonts w:eastAsia="Calibri"/>
                <w:color w:val="000000" w:themeColor="text1"/>
                <w:sz w:val="20"/>
                <w:szCs w:val="20"/>
              </w:rPr>
            </w:pPr>
            <w:r w:rsidRPr="00775AAD">
              <w:rPr>
                <w:color w:val="000000" w:themeColor="text1"/>
                <w:sz w:val="20"/>
                <w:szCs w:val="20"/>
              </w:rPr>
              <w:t xml:space="preserve">Narrative Review </w:t>
            </w:r>
          </w:p>
        </w:tc>
        <w:tc>
          <w:tcPr>
            <w:tcW w:w="851" w:type="pct"/>
          </w:tcPr>
          <w:p w14:paraId="39D12536" w14:textId="77777777" w:rsidR="00EC3ABE" w:rsidRPr="00775AAD" w:rsidRDefault="00EC3ABE" w:rsidP="00EC3ABE">
            <w:pPr>
              <w:spacing w:after="200"/>
              <w:rPr>
                <w:rFonts w:eastAsia="Calibri"/>
                <w:color w:val="000000" w:themeColor="text1"/>
                <w:sz w:val="20"/>
                <w:szCs w:val="20"/>
              </w:rPr>
            </w:pPr>
            <w:r w:rsidRPr="00775AAD">
              <w:rPr>
                <w:color w:val="000000" w:themeColor="text1"/>
                <w:sz w:val="20"/>
                <w:szCs w:val="20"/>
              </w:rPr>
              <w:t>Restricted to a narrative review alone.</w:t>
            </w:r>
          </w:p>
        </w:tc>
      </w:tr>
      <w:tr w:rsidR="00EC3ABE" w:rsidRPr="00775AAD" w14:paraId="0594B41A" w14:textId="77777777" w:rsidTr="00EC3ABE">
        <w:trPr>
          <w:trHeight w:val="1011"/>
        </w:trPr>
        <w:tc>
          <w:tcPr>
            <w:tcW w:w="625" w:type="pct"/>
          </w:tcPr>
          <w:p w14:paraId="6CA233A6" w14:textId="7E4D1C67" w:rsidR="00EC3ABE" w:rsidRPr="00775AAD" w:rsidRDefault="00EC3ABE" w:rsidP="00EC3ABE">
            <w:pPr>
              <w:spacing w:after="200"/>
              <w:rPr>
                <w:rFonts w:eastAsia="Calibri"/>
                <w:color w:val="000000" w:themeColor="text1"/>
                <w:sz w:val="20"/>
                <w:szCs w:val="20"/>
              </w:rPr>
            </w:pPr>
            <w:r w:rsidRPr="00775AAD">
              <w:rPr>
                <w:sz w:val="20"/>
                <w:szCs w:val="20"/>
              </w:rPr>
              <w:t xml:space="preserve">Bottani, E., Bellini, V., Mordonini, M., Pellegrino, M., Lombardo, G., Franchi, B., Craca, M., &amp; Bignami, E. (2023). </w:t>
            </w:r>
          </w:p>
        </w:tc>
        <w:tc>
          <w:tcPr>
            <w:tcW w:w="557" w:type="pct"/>
          </w:tcPr>
          <w:p w14:paraId="25A44FD5" w14:textId="77777777"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Level III</w:t>
            </w:r>
          </w:p>
          <w:p w14:paraId="477A3AF5" w14:textId="532CF202"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Quality</w:t>
            </w:r>
            <w:r>
              <w:rPr>
                <w:rFonts w:eastAsia="Calibri"/>
                <w:color w:val="000000" w:themeColor="text1"/>
                <w:sz w:val="20"/>
                <w:szCs w:val="20"/>
              </w:rPr>
              <w:t xml:space="preserve"> </w:t>
            </w:r>
            <w:r w:rsidRPr="00775AAD">
              <w:rPr>
                <w:rFonts w:eastAsia="Calibri"/>
                <w:color w:val="000000" w:themeColor="text1"/>
                <w:sz w:val="20"/>
                <w:szCs w:val="20"/>
              </w:rPr>
              <w:t>A/B</w:t>
            </w:r>
            <w:r>
              <w:rPr>
                <w:rFonts w:eastAsia="Calibri"/>
                <w:color w:val="000000" w:themeColor="text1"/>
                <w:sz w:val="20"/>
                <w:szCs w:val="20"/>
              </w:rPr>
              <w:t xml:space="preserve"> </w:t>
            </w:r>
            <w:r w:rsidRPr="00775AAD">
              <w:rPr>
                <w:rFonts w:eastAsia="Calibri"/>
                <w:color w:val="000000" w:themeColor="text1"/>
                <w:sz w:val="20"/>
                <w:szCs w:val="20"/>
              </w:rPr>
              <w:t>(High/Good)</w:t>
            </w:r>
          </w:p>
        </w:tc>
        <w:tc>
          <w:tcPr>
            <w:tcW w:w="1062" w:type="pct"/>
          </w:tcPr>
          <w:p w14:paraId="3734956E" w14:textId="77777777" w:rsidR="00EC3ABE" w:rsidRPr="00775AAD" w:rsidRDefault="00EC3ABE" w:rsidP="00EC3ABE">
            <w:pPr>
              <w:spacing w:after="200"/>
              <w:rPr>
                <w:rFonts w:eastAsia="Calibri"/>
                <w:color w:val="000000" w:themeColor="text1"/>
                <w:sz w:val="20"/>
                <w:szCs w:val="20"/>
              </w:rPr>
            </w:pPr>
            <w:r w:rsidRPr="00775AAD">
              <w:rPr>
                <w:color w:val="000000" w:themeColor="text1"/>
                <w:sz w:val="20"/>
                <w:szCs w:val="20"/>
              </w:rPr>
              <w:t>Enter text</w:t>
            </w:r>
          </w:p>
        </w:tc>
        <w:tc>
          <w:tcPr>
            <w:tcW w:w="983" w:type="pct"/>
          </w:tcPr>
          <w:p w14:paraId="131915AD" w14:textId="2635F673" w:rsidR="00EC3ABE" w:rsidRPr="00775AAD" w:rsidRDefault="00EC3ABE" w:rsidP="00EC3ABE">
            <w:pPr>
              <w:pStyle w:val="NormalWeb"/>
              <w:spacing w:before="0" w:beforeAutospacing="0" w:after="200" w:afterAutospacing="0"/>
              <w:rPr>
                <w:rFonts w:eastAsia="Calibri"/>
                <w:color w:val="000000" w:themeColor="text1"/>
                <w:sz w:val="20"/>
                <w:szCs w:val="20"/>
              </w:rPr>
            </w:pPr>
            <w:r w:rsidRPr="00775AAD">
              <w:rPr>
                <w:sz w:val="20"/>
                <w:szCs w:val="20"/>
              </w:rPr>
              <w:t xml:space="preserve">The barriers and facilitators to ART adherence in SSA countries can be categorized into seven primary factors: patient-related, health system-related, medication-related, stigma-related, poor mental health, socioeconomic, and socio-cultural factors. </w:t>
            </w:r>
            <w:bookmarkStart w:id="119" w:name="sec031"/>
            <w:bookmarkEnd w:id="119"/>
          </w:p>
        </w:tc>
        <w:tc>
          <w:tcPr>
            <w:tcW w:w="921" w:type="pct"/>
          </w:tcPr>
          <w:p w14:paraId="446151BC" w14:textId="398656DD" w:rsidR="00EC3ABE" w:rsidRPr="00775AAD" w:rsidRDefault="00EC3ABE" w:rsidP="00EC3ABE">
            <w:pPr>
              <w:spacing w:after="200"/>
              <w:rPr>
                <w:rFonts w:eastAsia="Calibri"/>
                <w:color w:val="000000" w:themeColor="text1"/>
                <w:sz w:val="20"/>
                <w:szCs w:val="20"/>
              </w:rPr>
            </w:pPr>
            <w:r>
              <w:rPr>
                <w:rFonts w:eastAsia="Calibri"/>
                <w:color w:val="000000" w:themeColor="text1"/>
                <w:sz w:val="20"/>
                <w:szCs w:val="20"/>
              </w:rPr>
              <w:t>Gantt Charts</w:t>
            </w:r>
          </w:p>
        </w:tc>
        <w:tc>
          <w:tcPr>
            <w:tcW w:w="851" w:type="pct"/>
          </w:tcPr>
          <w:p w14:paraId="64896280" w14:textId="70543EB9" w:rsidR="00EC3ABE" w:rsidRPr="00775AAD" w:rsidRDefault="00EC3ABE" w:rsidP="00EC3ABE">
            <w:pPr>
              <w:spacing w:after="200"/>
              <w:rPr>
                <w:rFonts w:eastAsia="Calibri"/>
                <w:color w:val="000000" w:themeColor="text1"/>
                <w:sz w:val="20"/>
                <w:szCs w:val="20"/>
              </w:rPr>
            </w:pPr>
            <w:r>
              <w:rPr>
                <w:rFonts w:eastAsia="Calibri"/>
                <w:color w:val="000000" w:themeColor="text1"/>
                <w:sz w:val="20"/>
                <w:szCs w:val="20"/>
              </w:rPr>
              <w:t>N</w:t>
            </w:r>
            <w:r w:rsidRPr="00905BE3">
              <w:rPr>
                <w:rFonts w:eastAsia="Calibri"/>
                <w:color w:val="000000" w:themeColor="text1"/>
                <w:sz w:val="20"/>
                <w:szCs w:val="20"/>
              </w:rPr>
              <w:t>ot being able to transform these results into intelligent tools that can be used in daily practice has been recognized as one of the major limitations that currently hinder the use of these technologies in medicine</w:t>
            </w:r>
            <w:r>
              <w:rPr>
                <w:rFonts w:eastAsia="Calibri"/>
                <w:color w:val="000000" w:themeColor="text1"/>
                <w:sz w:val="20"/>
                <w:szCs w:val="20"/>
              </w:rPr>
              <w:t>.</w:t>
            </w:r>
          </w:p>
        </w:tc>
      </w:tr>
      <w:tr w:rsidR="00EC3ABE" w:rsidRPr="00775AAD" w14:paraId="30721B5E" w14:textId="77777777" w:rsidTr="00EC3ABE">
        <w:trPr>
          <w:trHeight w:val="548"/>
        </w:trPr>
        <w:tc>
          <w:tcPr>
            <w:tcW w:w="625" w:type="pct"/>
          </w:tcPr>
          <w:p w14:paraId="34CDF6A1" w14:textId="77777777" w:rsidR="00EC3ABE" w:rsidRPr="00775AAD" w:rsidRDefault="00EC3ABE" w:rsidP="00EC3ABE">
            <w:pPr>
              <w:spacing w:after="200"/>
              <w:rPr>
                <w:sz w:val="20"/>
                <w:szCs w:val="20"/>
              </w:rPr>
            </w:pPr>
            <w:r w:rsidRPr="00775AAD">
              <w:rPr>
                <w:sz w:val="20"/>
                <w:szCs w:val="20"/>
              </w:rPr>
              <w:t xml:space="preserve">Buh, A., Deonandan, R., Gomes, J., Krentel, A., Oladimeji, O., &amp; Yaya, S. (2023). </w:t>
            </w:r>
          </w:p>
          <w:p w14:paraId="5C7B4645" w14:textId="77777777" w:rsidR="00EC3ABE" w:rsidRPr="00775AAD" w:rsidRDefault="00EC3ABE" w:rsidP="00EC3ABE">
            <w:pPr>
              <w:spacing w:after="200"/>
              <w:rPr>
                <w:sz w:val="20"/>
                <w:szCs w:val="20"/>
              </w:rPr>
            </w:pPr>
          </w:p>
        </w:tc>
        <w:tc>
          <w:tcPr>
            <w:tcW w:w="557" w:type="pct"/>
          </w:tcPr>
          <w:p w14:paraId="00439F5C" w14:textId="77777777"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Level I</w:t>
            </w:r>
          </w:p>
          <w:p w14:paraId="18A685BD" w14:textId="48D0F840"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Quality A (High)</w:t>
            </w:r>
          </w:p>
        </w:tc>
        <w:tc>
          <w:tcPr>
            <w:tcW w:w="1062" w:type="pct"/>
          </w:tcPr>
          <w:p w14:paraId="6DCAB4C2" w14:textId="40451EC1" w:rsidR="00EC3ABE" w:rsidRPr="00775AAD" w:rsidRDefault="00EC3ABE" w:rsidP="00EC3ABE">
            <w:pPr>
              <w:pStyle w:val="NormalWeb"/>
              <w:spacing w:before="0" w:beforeAutospacing="0" w:after="200" w:afterAutospacing="0"/>
              <w:rPr>
                <w:color w:val="000000" w:themeColor="text1"/>
                <w:sz w:val="20"/>
                <w:szCs w:val="20"/>
              </w:rPr>
            </w:pPr>
            <w:r w:rsidRPr="00775AAD">
              <w:rPr>
                <w:sz w:val="20"/>
                <w:szCs w:val="20"/>
              </w:rPr>
              <w:t xml:space="preserve">ART adherence in SSA is influenced by seven key factors. Multiple interventions, either standalone or combined, have shown effectiveness in enhancing ART adherence. </w:t>
            </w:r>
          </w:p>
        </w:tc>
        <w:tc>
          <w:tcPr>
            <w:tcW w:w="983" w:type="pct"/>
          </w:tcPr>
          <w:p w14:paraId="148562D3" w14:textId="77777777" w:rsidR="00EC3ABE" w:rsidRPr="00775AAD" w:rsidRDefault="00EC3ABE" w:rsidP="00EC3ABE">
            <w:pPr>
              <w:pStyle w:val="NormalWeb"/>
              <w:spacing w:before="0" w:beforeAutospacing="0" w:after="200" w:afterAutospacing="0"/>
              <w:rPr>
                <w:color w:val="000000" w:themeColor="text1"/>
                <w:sz w:val="20"/>
                <w:szCs w:val="20"/>
              </w:rPr>
            </w:pPr>
            <w:r w:rsidRPr="00775AAD">
              <w:rPr>
                <w:sz w:val="20"/>
                <w:szCs w:val="20"/>
              </w:rPr>
              <w:t xml:space="preserve">From an initial pool of 12,538 papers, 45 were selected (30 for narrative synthesis and 15 for meta-analysis). </w:t>
            </w:r>
          </w:p>
        </w:tc>
        <w:tc>
          <w:tcPr>
            <w:tcW w:w="921" w:type="pct"/>
          </w:tcPr>
          <w:p w14:paraId="6D784B0B" w14:textId="0C3A3EFD" w:rsidR="00EC3ABE" w:rsidRPr="00775AAD" w:rsidRDefault="00EC3ABE" w:rsidP="00EC3ABE">
            <w:pPr>
              <w:pStyle w:val="NormalWeb"/>
              <w:spacing w:before="0" w:beforeAutospacing="0" w:after="200" w:afterAutospacing="0"/>
              <w:rPr>
                <w:color w:val="000000" w:themeColor="text1"/>
                <w:sz w:val="20"/>
                <w:szCs w:val="20"/>
              </w:rPr>
            </w:pPr>
            <w:r w:rsidRPr="00775AAD">
              <w:rPr>
                <w:sz w:val="20"/>
                <w:szCs w:val="20"/>
              </w:rPr>
              <w:t xml:space="preserve">A comprehensive review was conducted on studies examining barriers to ART adherence and interventions to boost adherence among HIV-positive adults aged 15 and above in SSA, </w:t>
            </w:r>
            <w:r w:rsidRPr="00775AAD">
              <w:rPr>
                <w:sz w:val="20"/>
                <w:szCs w:val="20"/>
              </w:rPr>
              <w:lastRenderedPageBreak/>
              <w:t xml:space="preserve">published from January 2010 onwards. </w:t>
            </w:r>
          </w:p>
        </w:tc>
        <w:tc>
          <w:tcPr>
            <w:tcW w:w="851" w:type="pct"/>
          </w:tcPr>
          <w:p w14:paraId="3AE3E460" w14:textId="77777777" w:rsidR="00EC3ABE" w:rsidRPr="00775AAD" w:rsidRDefault="00EC3ABE" w:rsidP="00EC3ABE">
            <w:pPr>
              <w:pStyle w:val="NormalWeb"/>
              <w:spacing w:before="0" w:beforeAutospacing="0" w:after="200" w:afterAutospacing="0"/>
              <w:rPr>
                <w:sz w:val="20"/>
                <w:szCs w:val="20"/>
              </w:rPr>
            </w:pPr>
            <w:r w:rsidRPr="00775AAD">
              <w:rPr>
                <w:sz w:val="20"/>
                <w:szCs w:val="20"/>
              </w:rPr>
              <w:lastRenderedPageBreak/>
              <w:t xml:space="preserve">However, our review is limited by the inclusion of some cohort studies, which may bias the overall effect estimate due to unmeasured confounding that was </w:t>
            </w:r>
            <w:r w:rsidRPr="00775AAD">
              <w:rPr>
                <w:sz w:val="20"/>
                <w:szCs w:val="20"/>
              </w:rPr>
              <w:lastRenderedPageBreak/>
              <w:t xml:space="preserve">not adjusted for in the multivariable analysis. </w:t>
            </w:r>
          </w:p>
          <w:p w14:paraId="16009C1F" w14:textId="77777777" w:rsidR="00EC3ABE" w:rsidRPr="00775AAD" w:rsidRDefault="00EC3ABE" w:rsidP="00EC3ABE">
            <w:pPr>
              <w:spacing w:after="200"/>
              <w:rPr>
                <w:color w:val="000000" w:themeColor="text1"/>
                <w:sz w:val="20"/>
                <w:szCs w:val="20"/>
              </w:rPr>
            </w:pPr>
            <w:bookmarkStart w:id="120" w:name="sec030"/>
            <w:bookmarkEnd w:id="120"/>
          </w:p>
        </w:tc>
      </w:tr>
      <w:tr w:rsidR="00EC3ABE" w:rsidRPr="00775AAD" w14:paraId="1FB1A337" w14:textId="77777777" w:rsidTr="00EC3ABE">
        <w:trPr>
          <w:trHeight w:val="1011"/>
        </w:trPr>
        <w:tc>
          <w:tcPr>
            <w:tcW w:w="625" w:type="pct"/>
          </w:tcPr>
          <w:p w14:paraId="2490B147" w14:textId="77777777" w:rsidR="00EC3ABE" w:rsidRPr="00775AAD" w:rsidRDefault="00EC3ABE" w:rsidP="00EC3ABE">
            <w:pPr>
              <w:spacing w:after="200"/>
              <w:rPr>
                <w:sz w:val="20"/>
                <w:szCs w:val="20"/>
              </w:rPr>
            </w:pPr>
            <w:r w:rsidRPr="00775AAD">
              <w:rPr>
                <w:sz w:val="20"/>
                <w:szCs w:val="20"/>
              </w:rPr>
              <w:lastRenderedPageBreak/>
              <w:t xml:space="preserve">Cady, P. (2021). </w:t>
            </w:r>
          </w:p>
        </w:tc>
        <w:tc>
          <w:tcPr>
            <w:tcW w:w="557" w:type="pct"/>
          </w:tcPr>
          <w:p w14:paraId="5DEDB93F" w14:textId="034C53E8"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Level I</w:t>
            </w:r>
            <w:r>
              <w:rPr>
                <w:rFonts w:eastAsia="Calibri"/>
                <w:color w:val="000000" w:themeColor="text1"/>
                <w:sz w:val="20"/>
                <w:szCs w:val="20"/>
              </w:rPr>
              <w:t>I</w:t>
            </w:r>
            <w:r w:rsidRPr="00775AAD">
              <w:rPr>
                <w:rFonts w:eastAsia="Calibri"/>
                <w:color w:val="000000" w:themeColor="text1"/>
                <w:sz w:val="20"/>
                <w:szCs w:val="20"/>
              </w:rPr>
              <w:t>I</w:t>
            </w:r>
          </w:p>
          <w:p w14:paraId="107E11BA" w14:textId="432EF2F3"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Quality</w:t>
            </w:r>
            <w:r>
              <w:rPr>
                <w:rFonts w:eastAsia="Calibri"/>
                <w:color w:val="000000" w:themeColor="text1"/>
                <w:sz w:val="20"/>
                <w:szCs w:val="20"/>
              </w:rPr>
              <w:t xml:space="preserve"> </w:t>
            </w:r>
            <w:r w:rsidRPr="00775AAD">
              <w:rPr>
                <w:rFonts w:eastAsia="Calibri"/>
                <w:color w:val="000000" w:themeColor="text1"/>
                <w:sz w:val="20"/>
                <w:szCs w:val="20"/>
              </w:rPr>
              <w:t>A</w:t>
            </w:r>
            <w:r>
              <w:rPr>
                <w:rFonts w:eastAsia="Calibri"/>
                <w:color w:val="000000" w:themeColor="text1"/>
                <w:sz w:val="20"/>
                <w:szCs w:val="20"/>
              </w:rPr>
              <w:t xml:space="preserve">/B </w:t>
            </w:r>
            <w:r w:rsidRPr="00775AAD">
              <w:rPr>
                <w:rFonts w:eastAsia="Calibri"/>
                <w:color w:val="000000" w:themeColor="text1"/>
                <w:sz w:val="20"/>
                <w:szCs w:val="20"/>
              </w:rPr>
              <w:t>(Good)</w:t>
            </w:r>
          </w:p>
        </w:tc>
        <w:tc>
          <w:tcPr>
            <w:tcW w:w="1062" w:type="pct"/>
          </w:tcPr>
          <w:p w14:paraId="4F7ABD59" w14:textId="77777777" w:rsidR="00EC3ABE" w:rsidRPr="00775AAD" w:rsidRDefault="00EC3ABE" w:rsidP="00EC3ABE">
            <w:pPr>
              <w:spacing w:after="200"/>
              <w:rPr>
                <w:color w:val="000000" w:themeColor="text1"/>
                <w:sz w:val="20"/>
                <w:szCs w:val="20"/>
              </w:rPr>
            </w:pPr>
            <w:r w:rsidRPr="00775AAD">
              <w:rPr>
                <w:color w:val="333333"/>
                <w:sz w:val="20"/>
                <w:szCs w:val="20"/>
                <w:shd w:val="clear" w:color="auto" w:fill="FFFFFF"/>
              </w:rPr>
              <w:t>This research was undertaken to explore the extent to which system optimization leadership strategies, such as innovation, collaboration, and data-driven decision-making, affect financial and quality performance in organizations</w:t>
            </w:r>
          </w:p>
        </w:tc>
        <w:tc>
          <w:tcPr>
            <w:tcW w:w="983" w:type="pct"/>
          </w:tcPr>
          <w:p w14:paraId="32BEE2B0" w14:textId="77777777" w:rsidR="00EC3ABE" w:rsidRPr="00775AAD" w:rsidRDefault="00EC3ABE" w:rsidP="00EC3ABE">
            <w:pPr>
              <w:spacing w:after="200"/>
              <w:rPr>
                <w:color w:val="000000" w:themeColor="text1"/>
                <w:sz w:val="20"/>
                <w:szCs w:val="20"/>
              </w:rPr>
            </w:pPr>
            <w:r w:rsidRPr="00775AAD">
              <w:rPr>
                <w:sz w:val="20"/>
                <w:szCs w:val="20"/>
              </w:rPr>
              <w:t>45 participants from a global medical technology firm participated in systems thinking simulation games, and scores were transferred. To a summary sheet to view team performance.</w:t>
            </w:r>
          </w:p>
        </w:tc>
        <w:tc>
          <w:tcPr>
            <w:tcW w:w="921" w:type="pct"/>
          </w:tcPr>
          <w:p w14:paraId="600B4E3B" w14:textId="01352FEC" w:rsidR="00EC3ABE" w:rsidRPr="00775AAD" w:rsidRDefault="00EC3ABE" w:rsidP="00EC3ABE">
            <w:pPr>
              <w:spacing w:after="200"/>
              <w:rPr>
                <w:color w:val="000000" w:themeColor="text1"/>
                <w:sz w:val="20"/>
                <w:szCs w:val="20"/>
              </w:rPr>
            </w:pPr>
            <w:r w:rsidRPr="00775AAD">
              <w:rPr>
                <w:color w:val="333333"/>
                <w:sz w:val="20"/>
                <w:szCs w:val="20"/>
                <w:shd w:val="clear" w:color="auto" w:fill="FFFFFF"/>
              </w:rPr>
              <w:t>A quasi-experimental pretest-</w:t>
            </w:r>
            <w:r w:rsidR="0076635F" w:rsidRPr="00775AAD">
              <w:rPr>
                <w:color w:val="333333"/>
                <w:sz w:val="20"/>
                <w:szCs w:val="20"/>
                <w:shd w:val="clear" w:color="auto" w:fill="FFFFFF"/>
              </w:rPr>
              <w:t>post test</w:t>
            </w:r>
            <w:r w:rsidRPr="00775AAD">
              <w:rPr>
                <w:color w:val="333333"/>
                <w:sz w:val="20"/>
                <w:szCs w:val="20"/>
                <w:shd w:val="clear" w:color="auto" w:fill="FFFFFF"/>
              </w:rPr>
              <w:t xml:space="preserve"> research design was employed to investigate the impact of a systems-thinking workshop and a strategy discussion on system performance. T</w:t>
            </w:r>
          </w:p>
        </w:tc>
        <w:tc>
          <w:tcPr>
            <w:tcW w:w="851" w:type="pct"/>
          </w:tcPr>
          <w:p w14:paraId="2CC51489" w14:textId="77777777" w:rsidR="00EC3ABE" w:rsidRPr="00775AAD" w:rsidRDefault="00EC3ABE" w:rsidP="00EC3ABE">
            <w:pPr>
              <w:spacing w:after="200"/>
              <w:rPr>
                <w:color w:val="000000" w:themeColor="text1"/>
                <w:sz w:val="20"/>
                <w:szCs w:val="20"/>
              </w:rPr>
            </w:pPr>
            <w:r w:rsidRPr="00775AAD">
              <w:rPr>
                <w:color w:val="333333"/>
                <w:sz w:val="20"/>
                <w:szCs w:val="20"/>
                <w:shd w:val="clear" w:color="auto" w:fill="FFFFFF"/>
              </w:rPr>
              <w:t>Helpful recommendations for leadership practice and future research are presented with the goal of optimizing whole systems, rather than just their parts.</w:t>
            </w:r>
          </w:p>
        </w:tc>
      </w:tr>
      <w:tr w:rsidR="00EC3ABE" w:rsidRPr="00775AAD" w14:paraId="3551802B" w14:textId="77777777" w:rsidTr="00EC3ABE">
        <w:trPr>
          <w:trHeight w:val="1011"/>
        </w:trPr>
        <w:tc>
          <w:tcPr>
            <w:tcW w:w="625" w:type="pct"/>
          </w:tcPr>
          <w:p w14:paraId="7CCF277B" w14:textId="77777777" w:rsidR="00EC3ABE" w:rsidRPr="00775AAD" w:rsidRDefault="00EC3ABE" w:rsidP="00EC3ABE">
            <w:pPr>
              <w:spacing w:after="200"/>
              <w:rPr>
                <w:sz w:val="20"/>
                <w:szCs w:val="20"/>
              </w:rPr>
            </w:pPr>
            <w:r w:rsidRPr="00775AAD">
              <w:rPr>
                <w:sz w:val="20"/>
                <w:szCs w:val="20"/>
              </w:rPr>
              <w:t xml:space="preserve">Al Meslamani, A. Z. (2024). </w:t>
            </w:r>
          </w:p>
          <w:p w14:paraId="322A83DC" w14:textId="77777777" w:rsidR="00EC3ABE" w:rsidRPr="00775AAD" w:rsidRDefault="00EC3ABE" w:rsidP="00EC3ABE">
            <w:pPr>
              <w:spacing w:after="200"/>
              <w:ind w:hanging="2"/>
              <w:rPr>
                <w:sz w:val="20"/>
                <w:szCs w:val="20"/>
              </w:rPr>
            </w:pPr>
          </w:p>
          <w:p w14:paraId="2411513C" w14:textId="77777777" w:rsidR="00EC3ABE" w:rsidRPr="00775AAD" w:rsidRDefault="00EC3ABE" w:rsidP="00EC3ABE">
            <w:pPr>
              <w:spacing w:after="200"/>
              <w:ind w:hanging="2"/>
              <w:rPr>
                <w:sz w:val="20"/>
                <w:szCs w:val="20"/>
              </w:rPr>
            </w:pPr>
          </w:p>
          <w:p w14:paraId="47663B1F" w14:textId="77777777" w:rsidR="00EC3ABE" w:rsidRPr="00775AAD" w:rsidRDefault="00EC3ABE" w:rsidP="00EC3ABE">
            <w:pPr>
              <w:spacing w:after="200"/>
              <w:ind w:hanging="2"/>
              <w:rPr>
                <w:sz w:val="20"/>
                <w:szCs w:val="20"/>
              </w:rPr>
            </w:pPr>
          </w:p>
          <w:p w14:paraId="37F6E350" w14:textId="77777777" w:rsidR="00EC3ABE" w:rsidRPr="00775AAD" w:rsidRDefault="00EC3ABE" w:rsidP="00EC3ABE">
            <w:pPr>
              <w:spacing w:after="200"/>
              <w:rPr>
                <w:sz w:val="20"/>
                <w:szCs w:val="20"/>
              </w:rPr>
            </w:pPr>
          </w:p>
        </w:tc>
        <w:tc>
          <w:tcPr>
            <w:tcW w:w="557" w:type="pct"/>
          </w:tcPr>
          <w:p w14:paraId="157B3FBE" w14:textId="794F7DA5"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Level I</w:t>
            </w:r>
            <w:r>
              <w:rPr>
                <w:rFonts w:eastAsia="Calibri"/>
                <w:color w:val="000000" w:themeColor="text1"/>
                <w:sz w:val="20"/>
                <w:szCs w:val="20"/>
              </w:rPr>
              <w:t>II</w:t>
            </w:r>
          </w:p>
          <w:p w14:paraId="748514E8" w14:textId="42B78505"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Quality</w:t>
            </w:r>
            <w:r>
              <w:rPr>
                <w:rFonts w:eastAsia="Calibri"/>
                <w:color w:val="000000" w:themeColor="text1"/>
                <w:sz w:val="20"/>
                <w:szCs w:val="20"/>
              </w:rPr>
              <w:t xml:space="preserve"> A/B </w:t>
            </w:r>
            <w:r w:rsidRPr="00775AAD">
              <w:rPr>
                <w:rFonts w:eastAsia="Calibri"/>
                <w:color w:val="000000" w:themeColor="text1"/>
                <w:sz w:val="20"/>
                <w:szCs w:val="20"/>
              </w:rPr>
              <w:t>(Good)</w:t>
            </w:r>
          </w:p>
        </w:tc>
        <w:tc>
          <w:tcPr>
            <w:tcW w:w="1062" w:type="pct"/>
          </w:tcPr>
          <w:p w14:paraId="308002CA" w14:textId="77777777" w:rsidR="00EC3ABE" w:rsidRPr="00775AAD" w:rsidRDefault="00EC3ABE" w:rsidP="00EC3ABE">
            <w:pPr>
              <w:spacing w:after="200"/>
              <w:rPr>
                <w:color w:val="000000" w:themeColor="text1"/>
                <w:sz w:val="20"/>
                <w:szCs w:val="20"/>
              </w:rPr>
            </w:pPr>
            <w:r w:rsidRPr="00775AAD">
              <w:rPr>
                <w:sz w:val="20"/>
                <w:szCs w:val="20"/>
              </w:rPr>
              <w:t xml:space="preserve">This editorial examines the extent to which current literature addresses the role of policy changes in enhancing medication adherence and whether a comprehensive understanding of the impact of policy reforms on adherence exists. </w:t>
            </w:r>
          </w:p>
        </w:tc>
        <w:tc>
          <w:tcPr>
            <w:tcW w:w="983" w:type="pct"/>
          </w:tcPr>
          <w:p w14:paraId="39F7D8A0" w14:textId="77777777" w:rsidR="00EC3ABE" w:rsidRPr="00775AAD" w:rsidRDefault="00EC3ABE" w:rsidP="00EC3ABE">
            <w:pPr>
              <w:spacing w:after="200"/>
              <w:rPr>
                <w:color w:val="000000" w:themeColor="text1"/>
                <w:sz w:val="20"/>
                <w:szCs w:val="20"/>
              </w:rPr>
            </w:pPr>
            <w:r w:rsidRPr="00775AAD">
              <w:rPr>
                <w:sz w:val="20"/>
                <w:szCs w:val="20"/>
              </w:rPr>
              <w:t>Attempts to categorize these interventions reveal a spectrum of approaches targeting different aspects of adherence.</w:t>
            </w:r>
          </w:p>
        </w:tc>
        <w:tc>
          <w:tcPr>
            <w:tcW w:w="921" w:type="pct"/>
          </w:tcPr>
          <w:p w14:paraId="743E3269" w14:textId="77777777" w:rsidR="00EC3ABE" w:rsidRPr="00775AAD" w:rsidRDefault="00EC3ABE" w:rsidP="00EC3ABE">
            <w:pPr>
              <w:spacing w:after="200"/>
              <w:rPr>
                <w:color w:val="000000" w:themeColor="text1"/>
                <w:sz w:val="20"/>
                <w:szCs w:val="20"/>
              </w:rPr>
            </w:pPr>
            <w:r w:rsidRPr="00775AAD">
              <w:rPr>
                <w:sz w:val="20"/>
                <w:szCs w:val="20"/>
              </w:rPr>
              <w:t xml:space="preserve">Addressing medication non-adherence requires an approach that combines multiple strategies. These strategies encompass simplifying medication regimens, reducing barriers, leveraging technological advancements, and applying behavioral economics principles. </w:t>
            </w:r>
          </w:p>
        </w:tc>
        <w:tc>
          <w:tcPr>
            <w:tcW w:w="851" w:type="pct"/>
          </w:tcPr>
          <w:p w14:paraId="1120E081" w14:textId="77777777" w:rsidR="00EC3ABE" w:rsidRPr="00775AAD" w:rsidRDefault="00EC3ABE" w:rsidP="00EC3ABE">
            <w:pPr>
              <w:spacing w:after="200"/>
              <w:rPr>
                <w:color w:val="000000" w:themeColor="text1"/>
                <w:sz w:val="20"/>
                <w:szCs w:val="20"/>
              </w:rPr>
            </w:pPr>
            <w:r w:rsidRPr="00775AAD">
              <w:rPr>
                <w:color w:val="000000" w:themeColor="text1"/>
                <w:sz w:val="20"/>
                <w:szCs w:val="20"/>
              </w:rPr>
              <w:t xml:space="preserve">Limited to a systematic review. </w:t>
            </w:r>
          </w:p>
        </w:tc>
      </w:tr>
      <w:tr w:rsidR="00EC3ABE" w:rsidRPr="00775AAD" w14:paraId="3A4CD39D" w14:textId="77777777" w:rsidTr="00EC3ABE">
        <w:trPr>
          <w:trHeight w:val="1011"/>
        </w:trPr>
        <w:tc>
          <w:tcPr>
            <w:tcW w:w="625" w:type="pct"/>
          </w:tcPr>
          <w:p w14:paraId="12AEBA28" w14:textId="77777777" w:rsidR="00EC3ABE" w:rsidRPr="00775AAD" w:rsidRDefault="00EC3ABE" w:rsidP="00EC3ABE">
            <w:pPr>
              <w:spacing w:after="200"/>
              <w:rPr>
                <w:sz w:val="20"/>
                <w:szCs w:val="20"/>
              </w:rPr>
            </w:pPr>
            <w:r w:rsidRPr="00775AAD">
              <w:rPr>
                <w:sz w:val="20"/>
                <w:szCs w:val="20"/>
              </w:rPr>
              <w:t xml:space="preserve">Cahaya, N., Kristina, S. A., Widayanti, A. </w:t>
            </w:r>
            <w:r w:rsidRPr="00775AAD">
              <w:rPr>
                <w:sz w:val="20"/>
                <w:szCs w:val="20"/>
              </w:rPr>
              <w:lastRenderedPageBreak/>
              <w:t xml:space="preserve">W., &amp; Green, J. (2022). </w:t>
            </w:r>
          </w:p>
        </w:tc>
        <w:tc>
          <w:tcPr>
            <w:tcW w:w="557" w:type="pct"/>
          </w:tcPr>
          <w:p w14:paraId="54283D6A" w14:textId="77777777"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lastRenderedPageBreak/>
              <w:t>Level III</w:t>
            </w:r>
          </w:p>
          <w:p w14:paraId="73828DCB" w14:textId="3498EFD7"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Quality</w:t>
            </w:r>
            <w:r>
              <w:rPr>
                <w:rFonts w:eastAsia="Calibri"/>
                <w:color w:val="000000" w:themeColor="text1"/>
                <w:sz w:val="20"/>
                <w:szCs w:val="20"/>
              </w:rPr>
              <w:t xml:space="preserve"> </w:t>
            </w:r>
            <w:r w:rsidRPr="00775AAD">
              <w:rPr>
                <w:rFonts w:eastAsia="Calibri"/>
                <w:color w:val="000000" w:themeColor="text1"/>
                <w:sz w:val="20"/>
                <w:szCs w:val="20"/>
              </w:rPr>
              <w:t>A/B</w:t>
            </w:r>
            <w:r>
              <w:rPr>
                <w:rFonts w:eastAsia="Calibri"/>
                <w:color w:val="000000" w:themeColor="text1"/>
                <w:sz w:val="20"/>
                <w:szCs w:val="20"/>
              </w:rPr>
              <w:t xml:space="preserve"> </w:t>
            </w:r>
            <w:r w:rsidRPr="00775AAD">
              <w:rPr>
                <w:rFonts w:eastAsia="Calibri"/>
                <w:color w:val="000000" w:themeColor="text1"/>
                <w:sz w:val="20"/>
                <w:szCs w:val="20"/>
              </w:rPr>
              <w:t>(High/Good)</w:t>
            </w:r>
          </w:p>
        </w:tc>
        <w:tc>
          <w:tcPr>
            <w:tcW w:w="1062" w:type="pct"/>
          </w:tcPr>
          <w:p w14:paraId="728699DC" w14:textId="77777777" w:rsidR="00EC3ABE" w:rsidRPr="00775AAD" w:rsidRDefault="00EC3ABE" w:rsidP="00EC3ABE">
            <w:pPr>
              <w:spacing w:after="200"/>
              <w:rPr>
                <w:color w:val="000000" w:themeColor="text1"/>
                <w:sz w:val="20"/>
                <w:szCs w:val="20"/>
              </w:rPr>
            </w:pPr>
            <w:r w:rsidRPr="00775AAD">
              <w:rPr>
                <w:sz w:val="20"/>
                <w:szCs w:val="20"/>
              </w:rPr>
              <w:t xml:space="preserve">In all studies in this review, it was found that various health care professionals, such as psychiatrists, psychologists, mental nurses, and </w:t>
            </w:r>
            <w:r w:rsidRPr="00775AAD">
              <w:rPr>
                <w:sz w:val="20"/>
                <w:szCs w:val="20"/>
              </w:rPr>
              <w:lastRenderedPageBreak/>
              <w:t>pharmacists, were found to act as people who provide interventions to people with schizophrenia.</w:t>
            </w:r>
          </w:p>
        </w:tc>
        <w:tc>
          <w:tcPr>
            <w:tcW w:w="983" w:type="pct"/>
          </w:tcPr>
          <w:p w14:paraId="30C97A18" w14:textId="77777777" w:rsidR="00EC3ABE" w:rsidRPr="00775AAD" w:rsidRDefault="00EC3ABE" w:rsidP="00EC3ABE">
            <w:pPr>
              <w:spacing w:after="200"/>
              <w:rPr>
                <w:color w:val="000000" w:themeColor="text1"/>
                <w:sz w:val="20"/>
                <w:szCs w:val="20"/>
              </w:rPr>
            </w:pPr>
            <w:r w:rsidRPr="00775AAD">
              <w:rPr>
                <w:sz w:val="20"/>
                <w:szCs w:val="20"/>
              </w:rPr>
              <w:lastRenderedPageBreak/>
              <w:t xml:space="preserve">This review concentrates on studies that used a randomized trial or randomized controlled trial design. As a result, the </w:t>
            </w:r>
            <w:r w:rsidRPr="00775AAD">
              <w:rPr>
                <w:sz w:val="20"/>
                <w:szCs w:val="20"/>
              </w:rPr>
              <w:lastRenderedPageBreak/>
              <w:t>possibility of intervention using designs developed by others, such as quasi-experimental or non-randomized studies, is not covered in this review. In the future, it is hoped that there will be not only quantitative research but also research with qualitative study designs to evaluate the effectiveness of interventions that have been given</w:t>
            </w:r>
          </w:p>
        </w:tc>
        <w:tc>
          <w:tcPr>
            <w:tcW w:w="921" w:type="pct"/>
          </w:tcPr>
          <w:p w14:paraId="3C5DB739" w14:textId="77777777" w:rsidR="00EC3ABE" w:rsidRPr="00775AAD" w:rsidRDefault="00EC3ABE" w:rsidP="00EC3ABE">
            <w:pPr>
              <w:spacing w:after="200"/>
              <w:rPr>
                <w:color w:val="000000" w:themeColor="text1"/>
                <w:sz w:val="20"/>
                <w:szCs w:val="20"/>
              </w:rPr>
            </w:pPr>
            <w:r w:rsidRPr="00775AAD">
              <w:rPr>
                <w:color w:val="000000" w:themeColor="text1"/>
                <w:sz w:val="20"/>
                <w:szCs w:val="20"/>
              </w:rPr>
              <w:lastRenderedPageBreak/>
              <w:t>PRISMA</w:t>
            </w:r>
          </w:p>
        </w:tc>
        <w:tc>
          <w:tcPr>
            <w:tcW w:w="851" w:type="pct"/>
          </w:tcPr>
          <w:p w14:paraId="724ACAA3" w14:textId="77777777" w:rsidR="00EC3ABE" w:rsidRPr="00775AAD" w:rsidRDefault="00EC3ABE" w:rsidP="00EC3ABE">
            <w:pPr>
              <w:spacing w:after="200"/>
              <w:rPr>
                <w:color w:val="000000" w:themeColor="text1"/>
                <w:sz w:val="20"/>
                <w:szCs w:val="20"/>
              </w:rPr>
            </w:pPr>
            <w:r w:rsidRPr="00775AAD">
              <w:rPr>
                <w:sz w:val="20"/>
                <w:szCs w:val="20"/>
              </w:rPr>
              <w:t>Qualitative systematic review</w:t>
            </w:r>
          </w:p>
        </w:tc>
      </w:tr>
      <w:tr w:rsidR="00EC3ABE" w:rsidRPr="00775AAD" w14:paraId="5D2F1261" w14:textId="77777777" w:rsidTr="00EC3ABE">
        <w:trPr>
          <w:trHeight w:val="1011"/>
        </w:trPr>
        <w:tc>
          <w:tcPr>
            <w:tcW w:w="625" w:type="pct"/>
          </w:tcPr>
          <w:p w14:paraId="305F0660" w14:textId="77777777" w:rsidR="00EC3ABE" w:rsidRPr="00775AAD" w:rsidRDefault="00EC3ABE" w:rsidP="00EC3ABE">
            <w:pPr>
              <w:spacing w:after="200"/>
              <w:ind w:hanging="2"/>
              <w:rPr>
                <w:sz w:val="20"/>
                <w:szCs w:val="20"/>
              </w:rPr>
            </w:pPr>
            <w:r w:rsidRPr="00775AAD">
              <w:rPr>
                <w:sz w:val="20"/>
                <w:szCs w:val="20"/>
              </w:rPr>
              <w:t xml:space="preserve">Chapman, S., Frostholm, L., Chalder, T., Graham, C., de Thurah, A., van Leeuwen, T., Pedersen, M. M., Carstensen, T., &amp; Weinman, J. (2024). </w:t>
            </w:r>
          </w:p>
          <w:p w14:paraId="488470A2" w14:textId="77777777" w:rsidR="00EC3ABE" w:rsidRPr="00775AAD" w:rsidRDefault="00EC3ABE" w:rsidP="00EC3ABE">
            <w:pPr>
              <w:spacing w:after="200"/>
              <w:rPr>
                <w:sz w:val="20"/>
                <w:szCs w:val="20"/>
              </w:rPr>
            </w:pPr>
          </w:p>
        </w:tc>
        <w:tc>
          <w:tcPr>
            <w:tcW w:w="557" w:type="pct"/>
          </w:tcPr>
          <w:p w14:paraId="1BE1D5F0" w14:textId="77777777"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Level III</w:t>
            </w:r>
          </w:p>
          <w:p w14:paraId="01618541" w14:textId="531AE986"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Quality</w:t>
            </w:r>
            <w:r>
              <w:rPr>
                <w:rFonts w:eastAsia="Calibri"/>
                <w:color w:val="000000" w:themeColor="text1"/>
                <w:sz w:val="20"/>
                <w:szCs w:val="20"/>
              </w:rPr>
              <w:t xml:space="preserve"> </w:t>
            </w:r>
            <w:r w:rsidRPr="00775AAD">
              <w:rPr>
                <w:rFonts w:eastAsia="Calibri"/>
                <w:color w:val="000000" w:themeColor="text1"/>
                <w:sz w:val="20"/>
                <w:szCs w:val="20"/>
              </w:rPr>
              <w:t>A/B</w:t>
            </w:r>
            <w:r>
              <w:rPr>
                <w:rFonts w:eastAsia="Calibri"/>
                <w:color w:val="000000" w:themeColor="text1"/>
                <w:sz w:val="20"/>
                <w:szCs w:val="20"/>
              </w:rPr>
              <w:t xml:space="preserve"> </w:t>
            </w:r>
            <w:r w:rsidRPr="00775AAD">
              <w:rPr>
                <w:rFonts w:eastAsia="Calibri"/>
                <w:color w:val="000000" w:themeColor="text1"/>
                <w:sz w:val="20"/>
                <w:szCs w:val="20"/>
              </w:rPr>
              <w:t>(High/Good)</w:t>
            </w:r>
          </w:p>
        </w:tc>
        <w:tc>
          <w:tcPr>
            <w:tcW w:w="1062" w:type="pct"/>
          </w:tcPr>
          <w:p w14:paraId="1541CA09" w14:textId="77777777" w:rsidR="00EC3ABE" w:rsidRPr="00775AAD" w:rsidRDefault="00EC3ABE" w:rsidP="00EC3ABE">
            <w:pPr>
              <w:spacing w:after="200"/>
              <w:rPr>
                <w:color w:val="000000" w:themeColor="text1"/>
                <w:sz w:val="20"/>
                <w:szCs w:val="20"/>
              </w:rPr>
            </w:pPr>
            <w:r w:rsidRPr="00775AAD">
              <w:rPr>
                <w:sz w:val="20"/>
                <w:szCs w:val="20"/>
              </w:rPr>
              <w:t xml:space="preserve">Preventing nonadherence before it becomes established may be achievable and could arguably yield  greater benefit for patients, healthcare professionals, and healthcare systems. Although there are many insights into how, why, and when it might be possible to prevent nonadherence from existing practice and research on nonadherence, there is a dearth of evidence explicitly addressing these topics. We need a better understanding of the determinants of early nonadherence, the </w:t>
            </w:r>
            <w:r w:rsidRPr="00775AAD">
              <w:rPr>
                <w:sz w:val="20"/>
                <w:szCs w:val="20"/>
              </w:rPr>
              <w:lastRenderedPageBreak/>
              <w:t xml:space="preserve">development, testing, and implementation of effective tools to identify the risk of nonadherence, and appropriate theory-driven interventions to reduce this risk. </w:t>
            </w:r>
          </w:p>
        </w:tc>
        <w:tc>
          <w:tcPr>
            <w:tcW w:w="983" w:type="pct"/>
          </w:tcPr>
          <w:p w14:paraId="17F07053" w14:textId="77777777" w:rsidR="00EC3ABE" w:rsidRPr="00775AAD" w:rsidRDefault="00EC3ABE" w:rsidP="00EC3ABE">
            <w:pPr>
              <w:spacing w:after="200"/>
              <w:rPr>
                <w:sz w:val="20"/>
                <w:szCs w:val="20"/>
              </w:rPr>
            </w:pPr>
            <w:r w:rsidRPr="00775AAD">
              <w:rPr>
                <w:sz w:val="20"/>
                <w:szCs w:val="20"/>
              </w:rPr>
              <w:lastRenderedPageBreak/>
              <w:t xml:space="preserve">We would propose that there are four broad categories of intervention which may be useful for preventing nonadherence and which further research could investigate: Population-level interventions delivered to patients and healthy individuals; Interventions at the point of prescription targeting all patients receiving a particular medication. </w:t>
            </w:r>
          </w:p>
          <w:p w14:paraId="7E11CFD7" w14:textId="77777777" w:rsidR="00EC3ABE" w:rsidRPr="00775AAD" w:rsidRDefault="00EC3ABE" w:rsidP="00EC3ABE">
            <w:pPr>
              <w:spacing w:after="200"/>
              <w:rPr>
                <w:sz w:val="20"/>
                <w:szCs w:val="20"/>
              </w:rPr>
            </w:pPr>
          </w:p>
          <w:p w14:paraId="0C5F6FB2" w14:textId="77777777" w:rsidR="00EC3ABE" w:rsidRPr="00775AAD" w:rsidRDefault="00EC3ABE" w:rsidP="00EC3ABE">
            <w:pPr>
              <w:spacing w:after="200"/>
              <w:rPr>
                <w:sz w:val="20"/>
                <w:szCs w:val="20"/>
              </w:rPr>
            </w:pPr>
          </w:p>
          <w:p w14:paraId="444CAFD8" w14:textId="77777777" w:rsidR="00EC3ABE" w:rsidRPr="00775AAD" w:rsidRDefault="00EC3ABE" w:rsidP="00EC3ABE">
            <w:pPr>
              <w:spacing w:after="200"/>
              <w:rPr>
                <w:color w:val="000000" w:themeColor="text1"/>
                <w:sz w:val="20"/>
                <w:szCs w:val="20"/>
              </w:rPr>
            </w:pPr>
          </w:p>
        </w:tc>
        <w:tc>
          <w:tcPr>
            <w:tcW w:w="921" w:type="pct"/>
          </w:tcPr>
          <w:p w14:paraId="4D02C371" w14:textId="77777777" w:rsidR="00EC3ABE" w:rsidRPr="00775AAD" w:rsidRDefault="00EC3ABE" w:rsidP="00EC3ABE">
            <w:pPr>
              <w:spacing w:after="200"/>
              <w:rPr>
                <w:color w:val="000000" w:themeColor="text1"/>
                <w:sz w:val="20"/>
                <w:szCs w:val="20"/>
              </w:rPr>
            </w:pPr>
            <w:r w:rsidRPr="00775AAD">
              <w:rPr>
                <w:color w:val="000000" w:themeColor="text1"/>
                <w:sz w:val="20"/>
                <w:szCs w:val="20"/>
              </w:rPr>
              <w:lastRenderedPageBreak/>
              <w:t>PRISMA</w:t>
            </w:r>
          </w:p>
        </w:tc>
        <w:tc>
          <w:tcPr>
            <w:tcW w:w="851" w:type="pct"/>
          </w:tcPr>
          <w:p w14:paraId="7E1094F2" w14:textId="77777777" w:rsidR="00EC3ABE" w:rsidRPr="00775AAD" w:rsidRDefault="00EC3ABE" w:rsidP="00EC3ABE">
            <w:pPr>
              <w:spacing w:after="200"/>
              <w:rPr>
                <w:color w:val="000000" w:themeColor="text1"/>
                <w:sz w:val="20"/>
                <w:szCs w:val="20"/>
              </w:rPr>
            </w:pPr>
            <w:r w:rsidRPr="00775AAD">
              <w:rPr>
                <w:sz w:val="20"/>
                <w:szCs w:val="20"/>
              </w:rPr>
              <w:t>Qualitative systematic review</w:t>
            </w:r>
          </w:p>
        </w:tc>
      </w:tr>
      <w:tr w:rsidR="00EC3ABE" w:rsidRPr="00775AAD" w14:paraId="19C67241" w14:textId="77777777" w:rsidTr="00EC3ABE">
        <w:trPr>
          <w:trHeight w:val="1011"/>
        </w:trPr>
        <w:tc>
          <w:tcPr>
            <w:tcW w:w="625" w:type="pct"/>
          </w:tcPr>
          <w:p w14:paraId="71E106DA" w14:textId="77777777" w:rsidR="00EC3ABE" w:rsidRPr="008F02C4" w:rsidRDefault="00EC3ABE" w:rsidP="00EC3ABE">
            <w:pPr>
              <w:spacing w:after="200"/>
              <w:ind w:hanging="2"/>
              <w:rPr>
                <w:sz w:val="20"/>
                <w:szCs w:val="20"/>
                <w:lang w:val="es-ES"/>
              </w:rPr>
            </w:pPr>
            <w:r w:rsidRPr="008F02C4">
              <w:rPr>
                <w:sz w:val="20"/>
                <w:szCs w:val="20"/>
                <w:lang w:val="es-ES"/>
              </w:rPr>
              <w:t xml:space="preserve">Corral-Partearroyo, C., Sánchez-Viñas, A., Gil-Girbau, M., Peñarrubia-María, M. T., Aznar-Lou, I., Gallardo-González, C., Olmos-Palenzuela, M. D. C., &amp; Rubio-Valera, M. (2022). </w:t>
            </w:r>
          </w:p>
          <w:p w14:paraId="60D0BD73" w14:textId="77777777" w:rsidR="00EC3ABE" w:rsidRPr="008F02C4" w:rsidRDefault="00EC3ABE" w:rsidP="00EC3ABE">
            <w:pPr>
              <w:spacing w:after="200"/>
              <w:rPr>
                <w:sz w:val="20"/>
                <w:szCs w:val="20"/>
                <w:lang w:val="es-ES"/>
              </w:rPr>
            </w:pPr>
          </w:p>
        </w:tc>
        <w:tc>
          <w:tcPr>
            <w:tcW w:w="557" w:type="pct"/>
          </w:tcPr>
          <w:p w14:paraId="4300C01D" w14:textId="77777777"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Level III</w:t>
            </w:r>
          </w:p>
          <w:p w14:paraId="004CA8BF" w14:textId="6540BF8E"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Quality</w:t>
            </w:r>
            <w:r>
              <w:rPr>
                <w:rFonts w:eastAsia="Calibri"/>
                <w:color w:val="000000" w:themeColor="text1"/>
                <w:sz w:val="20"/>
                <w:szCs w:val="20"/>
              </w:rPr>
              <w:t xml:space="preserve"> </w:t>
            </w:r>
            <w:r w:rsidRPr="00775AAD">
              <w:rPr>
                <w:rFonts w:eastAsia="Calibri"/>
                <w:color w:val="000000" w:themeColor="text1"/>
                <w:sz w:val="20"/>
                <w:szCs w:val="20"/>
              </w:rPr>
              <w:t>A</w:t>
            </w:r>
            <w:r>
              <w:rPr>
                <w:rFonts w:eastAsia="Calibri"/>
                <w:color w:val="000000" w:themeColor="text1"/>
                <w:sz w:val="20"/>
                <w:szCs w:val="20"/>
              </w:rPr>
              <w:t xml:space="preserve"> </w:t>
            </w:r>
            <w:r w:rsidRPr="00775AAD">
              <w:rPr>
                <w:rFonts w:eastAsia="Calibri"/>
                <w:color w:val="000000" w:themeColor="text1"/>
                <w:sz w:val="20"/>
                <w:szCs w:val="20"/>
              </w:rPr>
              <w:t>(High)</w:t>
            </w:r>
          </w:p>
        </w:tc>
        <w:tc>
          <w:tcPr>
            <w:tcW w:w="1062" w:type="pct"/>
          </w:tcPr>
          <w:p w14:paraId="17F25313" w14:textId="77777777" w:rsidR="00EC3ABE" w:rsidRPr="00775AAD" w:rsidRDefault="00EC3ABE" w:rsidP="00EC3ABE">
            <w:pPr>
              <w:spacing w:after="200"/>
              <w:rPr>
                <w:color w:val="000000" w:themeColor="text1"/>
                <w:sz w:val="20"/>
                <w:szCs w:val="20"/>
              </w:rPr>
            </w:pPr>
            <w:r w:rsidRPr="00775AAD">
              <w:rPr>
                <w:sz w:val="20"/>
                <w:szCs w:val="20"/>
              </w:rPr>
              <w:t> This paper presents the development and implementation strategy of the IMA intervention and the process evaluation protocol embedded in a cluster randomized controlled trial (the IMA-cRCT) to understand and interpret the outcomes of the trial and comprehend the extent of implementation and fidelity, the active mechanisms of the IMA intervention, and in what context the intervention is implemented and works.</w:t>
            </w:r>
          </w:p>
        </w:tc>
        <w:tc>
          <w:tcPr>
            <w:tcW w:w="983" w:type="pct"/>
          </w:tcPr>
          <w:p w14:paraId="4669AF69" w14:textId="77777777" w:rsidR="00EC3ABE" w:rsidRPr="00775AAD" w:rsidRDefault="00EC3ABE" w:rsidP="00EC3ABE">
            <w:pPr>
              <w:spacing w:after="200"/>
              <w:rPr>
                <w:color w:val="000000" w:themeColor="text1"/>
                <w:sz w:val="20"/>
                <w:szCs w:val="20"/>
              </w:rPr>
            </w:pPr>
            <w:r w:rsidRPr="00775AAD">
              <w:rPr>
                <w:sz w:val="20"/>
                <w:szCs w:val="20"/>
              </w:rPr>
              <w:t> This paper presents the development and implementation strategy for the IMA intervention and the process evaluation protocol embedded in a cluster-randomized controlled trial (the IMA-cRCT) to understand and interpret the trial's outcomes and to assess the extent of implementation and fidelity.</w:t>
            </w:r>
          </w:p>
        </w:tc>
        <w:tc>
          <w:tcPr>
            <w:tcW w:w="921" w:type="pct"/>
          </w:tcPr>
          <w:p w14:paraId="5F7B1721" w14:textId="77777777" w:rsidR="00EC3ABE" w:rsidRPr="00775AAD" w:rsidRDefault="00EC3ABE" w:rsidP="00EC3ABE">
            <w:pPr>
              <w:spacing w:after="200"/>
              <w:rPr>
                <w:color w:val="000000" w:themeColor="text1"/>
                <w:sz w:val="20"/>
                <w:szCs w:val="20"/>
              </w:rPr>
            </w:pPr>
            <w:r w:rsidRPr="00775AAD">
              <w:rPr>
                <w:sz w:val="20"/>
                <w:szCs w:val="20"/>
              </w:rPr>
              <w:t>We</w:t>
            </w:r>
            <w:r w:rsidRPr="00775AAD">
              <w:rPr>
                <w:color w:val="000000"/>
                <w:sz w:val="20"/>
                <w:szCs w:val="20"/>
              </w:rPr>
              <w:t xml:space="preserve"> present the protocol for a mixed-methods process evaluation that combines quantitative and qualitative methods to assess implementation and fidelity across the intervention, participants, and their context. operative records, patient clinical records, and participant feedback questionnaires</w:t>
            </w:r>
          </w:p>
        </w:tc>
        <w:tc>
          <w:tcPr>
            <w:tcW w:w="851" w:type="pct"/>
          </w:tcPr>
          <w:p w14:paraId="1033440D" w14:textId="77777777" w:rsidR="00EC3ABE" w:rsidRPr="00775AAD" w:rsidRDefault="00EC3ABE" w:rsidP="00EC3ABE">
            <w:pPr>
              <w:spacing w:after="200"/>
              <w:rPr>
                <w:color w:val="000000" w:themeColor="text1"/>
                <w:sz w:val="20"/>
                <w:szCs w:val="20"/>
              </w:rPr>
            </w:pPr>
            <w:r w:rsidRPr="00775AAD">
              <w:rPr>
                <w:sz w:val="20"/>
                <w:szCs w:val="20"/>
              </w:rPr>
              <w:t>N/A (trial study)</w:t>
            </w:r>
          </w:p>
        </w:tc>
      </w:tr>
      <w:tr w:rsidR="00EC3ABE" w:rsidRPr="00775AAD" w14:paraId="2D9641C8" w14:textId="77777777" w:rsidTr="00EC3ABE">
        <w:trPr>
          <w:trHeight w:val="1011"/>
        </w:trPr>
        <w:tc>
          <w:tcPr>
            <w:tcW w:w="625" w:type="pct"/>
          </w:tcPr>
          <w:p w14:paraId="6D19DEAF" w14:textId="77777777" w:rsidR="00EC3ABE" w:rsidRPr="00775AAD" w:rsidRDefault="00EC3ABE" w:rsidP="00EC3ABE">
            <w:pPr>
              <w:spacing w:after="200"/>
              <w:ind w:hanging="2"/>
              <w:rPr>
                <w:sz w:val="20"/>
                <w:szCs w:val="20"/>
              </w:rPr>
            </w:pPr>
            <w:r w:rsidRPr="00775AAD">
              <w:rPr>
                <w:sz w:val="20"/>
                <w:szCs w:val="20"/>
              </w:rPr>
              <w:t xml:space="preserve">Emami, M., Haghdoost, A. A., Yazdi-Feyzabadi, V., &amp; Mehrolhassani, M. H. (2023). </w:t>
            </w:r>
          </w:p>
          <w:p w14:paraId="1480CCD3" w14:textId="77777777" w:rsidR="00EC3ABE" w:rsidRPr="00775AAD" w:rsidRDefault="00EC3ABE" w:rsidP="00EC3ABE">
            <w:pPr>
              <w:spacing w:after="200"/>
              <w:rPr>
                <w:sz w:val="20"/>
                <w:szCs w:val="20"/>
              </w:rPr>
            </w:pPr>
          </w:p>
        </w:tc>
        <w:tc>
          <w:tcPr>
            <w:tcW w:w="557" w:type="pct"/>
          </w:tcPr>
          <w:p w14:paraId="2C3E67D6" w14:textId="77777777"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lastRenderedPageBreak/>
              <w:t>Level III</w:t>
            </w:r>
          </w:p>
          <w:p w14:paraId="3597D94A" w14:textId="1DB6DD23"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Quality</w:t>
            </w:r>
            <w:r>
              <w:rPr>
                <w:rFonts w:eastAsia="Calibri"/>
                <w:color w:val="000000" w:themeColor="text1"/>
                <w:sz w:val="20"/>
                <w:szCs w:val="20"/>
              </w:rPr>
              <w:t xml:space="preserve"> </w:t>
            </w:r>
            <w:r w:rsidR="0076635F" w:rsidRPr="00775AAD">
              <w:rPr>
                <w:rFonts w:eastAsia="Calibri"/>
                <w:color w:val="000000" w:themeColor="text1"/>
                <w:sz w:val="20"/>
                <w:szCs w:val="20"/>
              </w:rPr>
              <w:t>A/</w:t>
            </w:r>
            <w:r w:rsidRPr="00775AAD">
              <w:rPr>
                <w:rFonts w:eastAsia="Calibri"/>
                <w:color w:val="000000" w:themeColor="text1"/>
                <w:sz w:val="20"/>
                <w:szCs w:val="20"/>
              </w:rPr>
              <w:t>B</w:t>
            </w:r>
            <w:r>
              <w:rPr>
                <w:rFonts w:eastAsia="Calibri"/>
                <w:color w:val="000000" w:themeColor="text1"/>
                <w:sz w:val="20"/>
                <w:szCs w:val="20"/>
              </w:rPr>
              <w:t xml:space="preserve"> </w:t>
            </w:r>
            <w:r w:rsidRPr="00775AAD">
              <w:rPr>
                <w:rFonts w:eastAsia="Calibri"/>
                <w:color w:val="000000" w:themeColor="text1"/>
                <w:sz w:val="20"/>
                <w:szCs w:val="20"/>
              </w:rPr>
              <w:t>(High/Good)</w:t>
            </w:r>
          </w:p>
        </w:tc>
        <w:tc>
          <w:tcPr>
            <w:tcW w:w="1062" w:type="pct"/>
          </w:tcPr>
          <w:p w14:paraId="1D77B384"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 xml:space="preserve">The dynamic and systemic planning and targeting in the health system require attention to all the system's components and investigation of their causal relationships to form a clear view of the system. Therefore, the present </w:t>
            </w:r>
            <w:r w:rsidRPr="00775AAD">
              <w:rPr>
                <w:rFonts w:ascii="Times New Roman" w:hAnsi="Times New Roman" w:cs="Times New Roman"/>
                <w:sz w:val="20"/>
                <w:szCs w:val="20"/>
              </w:rPr>
              <w:lastRenderedPageBreak/>
              <w:t>study was designed to identify the system's comprehensive dimensions within a specific framework.</w:t>
            </w:r>
          </w:p>
          <w:p w14:paraId="142E9B4F" w14:textId="77777777" w:rsidR="00EC3ABE" w:rsidRPr="00775AAD" w:rsidRDefault="00EC3ABE" w:rsidP="00EC3ABE">
            <w:pPr>
              <w:spacing w:after="200"/>
              <w:rPr>
                <w:color w:val="000000" w:themeColor="text1"/>
                <w:sz w:val="20"/>
                <w:szCs w:val="20"/>
              </w:rPr>
            </w:pPr>
          </w:p>
        </w:tc>
        <w:tc>
          <w:tcPr>
            <w:tcW w:w="983" w:type="pct"/>
          </w:tcPr>
          <w:p w14:paraId="7E077EF0" w14:textId="00FA3CDE" w:rsidR="00EC3ABE" w:rsidRPr="00775AAD" w:rsidRDefault="00EC3ABE" w:rsidP="00EC3ABE">
            <w:pPr>
              <w:pStyle w:val="p1"/>
              <w:spacing w:after="200" w:line="240" w:lineRule="auto"/>
              <w:rPr>
                <w:rFonts w:ascii="Times New Roman" w:hAnsi="Times New Roman" w:cs="Times New Roman"/>
                <w:color w:val="000000" w:themeColor="text1"/>
                <w:sz w:val="20"/>
                <w:szCs w:val="20"/>
              </w:rPr>
            </w:pPr>
            <w:r w:rsidRPr="00775AAD">
              <w:rPr>
                <w:rFonts w:ascii="Times New Roman" w:hAnsi="Times New Roman" w:cs="Times New Roman"/>
                <w:sz w:val="20"/>
                <w:szCs w:val="20"/>
              </w:rPr>
              <w:lastRenderedPageBreak/>
              <w:t>In the present study, components related to all dimensions of HS, such as population health</w:t>
            </w:r>
            <w:r w:rsidRPr="00775AAD">
              <w:rPr>
                <w:rFonts w:ascii="Times New Roman" w:hAnsi="Times New Roman" w:cs="Times New Roman"/>
                <w:i/>
                <w:iCs/>
                <w:sz w:val="20"/>
                <w:szCs w:val="20"/>
              </w:rPr>
              <w:t xml:space="preserve">, </w:t>
            </w:r>
            <w:r w:rsidRPr="00775AAD">
              <w:rPr>
                <w:rFonts w:ascii="Times New Roman" w:hAnsi="Times New Roman" w:cs="Times New Roman"/>
                <w:sz w:val="20"/>
                <w:szCs w:val="20"/>
              </w:rPr>
              <w:t xml:space="preserve">demographics, high-risk behaviors and risk factors, and the health status of the population, service delivery </w:t>
            </w:r>
            <w:r w:rsidRPr="00775AAD">
              <w:rPr>
                <w:rFonts w:ascii="Times New Roman" w:hAnsi="Times New Roman" w:cs="Times New Roman"/>
                <w:sz w:val="20"/>
                <w:szCs w:val="20"/>
              </w:rPr>
              <w:lastRenderedPageBreak/>
              <w:t>(prevention services, medical services, palliative and rehabilitation services, were identified that policymakers and planners should consider improving the HS in a causal network dynamically.</w:t>
            </w:r>
          </w:p>
        </w:tc>
        <w:tc>
          <w:tcPr>
            <w:tcW w:w="921" w:type="pct"/>
          </w:tcPr>
          <w:p w14:paraId="009DBB12" w14:textId="77777777" w:rsidR="00EC3ABE" w:rsidRPr="00775AAD" w:rsidRDefault="00EC3ABE" w:rsidP="00EC3ABE">
            <w:pPr>
              <w:spacing w:after="200"/>
              <w:rPr>
                <w:color w:val="000000" w:themeColor="text1"/>
                <w:sz w:val="20"/>
                <w:szCs w:val="20"/>
              </w:rPr>
            </w:pPr>
            <w:r w:rsidRPr="00775AAD">
              <w:rPr>
                <w:sz w:val="20"/>
                <w:szCs w:val="20"/>
              </w:rPr>
              <w:lastRenderedPageBreak/>
              <w:t>Qualitative systematic review</w:t>
            </w:r>
          </w:p>
        </w:tc>
        <w:tc>
          <w:tcPr>
            <w:tcW w:w="851" w:type="pct"/>
          </w:tcPr>
          <w:p w14:paraId="3E1E5B02" w14:textId="77777777" w:rsidR="00EC3ABE" w:rsidRPr="00775AAD" w:rsidRDefault="00EC3ABE" w:rsidP="00EC3ABE">
            <w:pPr>
              <w:spacing w:after="200"/>
              <w:rPr>
                <w:color w:val="000000" w:themeColor="text1"/>
                <w:sz w:val="20"/>
                <w:szCs w:val="20"/>
              </w:rPr>
            </w:pPr>
            <w:r w:rsidRPr="00775AAD">
              <w:rPr>
                <w:sz w:val="20"/>
                <w:szCs w:val="20"/>
              </w:rPr>
              <w:t>Qualitative systematic review</w:t>
            </w:r>
          </w:p>
        </w:tc>
      </w:tr>
      <w:tr w:rsidR="00EC3ABE" w:rsidRPr="00775AAD" w14:paraId="04C3E2C4" w14:textId="77777777" w:rsidTr="00EC3ABE">
        <w:trPr>
          <w:trHeight w:val="1011"/>
        </w:trPr>
        <w:tc>
          <w:tcPr>
            <w:tcW w:w="625" w:type="pct"/>
          </w:tcPr>
          <w:p w14:paraId="786663BA" w14:textId="77777777" w:rsidR="00EC3ABE" w:rsidRPr="008F02C4" w:rsidRDefault="00EC3ABE" w:rsidP="00EC3ABE">
            <w:pPr>
              <w:spacing w:after="200"/>
              <w:ind w:hanging="2"/>
              <w:rPr>
                <w:sz w:val="20"/>
                <w:szCs w:val="20"/>
                <w:lang w:val="fr-FR"/>
              </w:rPr>
            </w:pPr>
            <w:r w:rsidRPr="008F02C4">
              <w:rPr>
                <w:sz w:val="20"/>
                <w:szCs w:val="20"/>
                <w:lang w:val="fr-FR"/>
              </w:rPr>
              <w:t xml:space="preserve">Faisal, S., Ivo, J., Tennant, R., Prior, K. A., Grindrod, K., McMillan, C., &amp; Patel, T. (2021). </w:t>
            </w:r>
          </w:p>
          <w:p w14:paraId="0B0CE11E" w14:textId="77777777" w:rsidR="00EC3ABE" w:rsidRPr="008F02C4" w:rsidRDefault="00EC3ABE" w:rsidP="00EC3ABE">
            <w:pPr>
              <w:spacing w:after="200"/>
              <w:rPr>
                <w:sz w:val="20"/>
                <w:szCs w:val="20"/>
                <w:lang w:val="fr-FR"/>
              </w:rPr>
            </w:pPr>
          </w:p>
        </w:tc>
        <w:tc>
          <w:tcPr>
            <w:tcW w:w="557" w:type="pct"/>
          </w:tcPr>
          <w:p w14:paraId="0824E9D5" w14:textId="77777777"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Level III</w:t>
            </w:r>
          </w:p>
          <w:p w14:paraId="31F9B979" w14:textId="5928F670"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Quality</w:t>
            </w:r>
            <w:r>
              <w:rPr>
                <w:rFonts w:eastAsia="Calibri"/>
                <w:color w:val="000000" w:themeColor="text1"/>
                <w:sz w:val="20"/>
                <w:szCs w:val="20"/>
              </w:rPr>
              <w:t xml:space="preserve"> </w:t>
            </w:r>
            <w:r w:rsidRPr="00775AAD">
              <w:rPr>
                <w:rFonts w:eastAsia="Calibri"/>
                <w:color w:val="000000" w:themeColor="text1"/>
                <w:sz w:val="20"/>
                <w:szCs w:val="20"/>
              </w:rPr>
              <w:t>A/B</w:t>
            </w:r>
            <w:r>
              <w:rPr>
                <w:rFonts w:eastAsia="Calibri"/>
                <w:color w:val="000000" w:themeColor="text1"/>
                <w:sz w:val="20"/>
                <w:szCs w:val="20"/>
              </w:rPr>
              <w:t xml:space="preserve"> </w:t>
            </w:r>
            <w:r w:rsidRPr="00775AAD">
              <w:rPr>
                <w:rFonts w:eastAsia="Calibri"/>
                <w:color w:val="000000" w:themeColor="text1"/>
                <w:sz w:val="20"/>
                <w:szCs w:val="20"/>
              </w:rPr>
              <w:t>(High/Good)</w:t>
            </w:r>
          </w:p>
        </w:tc>
        <w:tc>
          <w:tcPr>
            <w:tcW w:w="1062" w:type="pct"/>
          </w:tcPr>
          <w:p w14:paraId="544D1AC4" w14:textId="77777777" w:rsidR="00EC3ABE" w:rsidRPr="00775AAD" w:rsidRDefault="00EC3ABE" w:rsidP="00EC3ABE">
            <w:pPr>
              <w:spacing w:after="200"/>
              <w:rPr>
                <w:color w:val="000000" w:themeColor="text1"/>
                <w:sz w:val="20"/>
                <w:szCs w:val="20"/>
              </w:rPr>
            </w:pPr>
            <w:r w:rsidRPr="00775AAD">
              <w:rPr>
                <w:sz w:val="20"/>
                <w:szCs w:val="20"/>
              </w:rPr>
              <w:t xml:space="preserve">The purpose of this study was to explore factors affecting the implementation of a real-time adherence-monitoring, multidose-dispensing system in community pharmacies. A mixed-methods study was conducted with pharmacy staff who packaged and dispensed medications in smart, multidose packages and monitored real-time medication intake via a web portal. </w:t>
            </w:r>
          </w:p>
        </w:tc>
        <w:tc>
          <w:tcPr>
            <w:tcW w:w="983" w:type="pct"/>
          </w:tcPr>
          <w:p w14:paraId="2D08B9CE" w14:textId="77777777" w:rsidR="00EC3ABE" w:rsidRPr="00775AAD" w:rsidRDefault="00EC3ABE" w:rsidP="00EC3ABE">
            <w:pPr>
              <w:spacing w:after="200"/>
              <w:rPr>
                <w:color w:val="000000" w:themeColor="text1"/>
                <w:sz w:val="20"/>
                <w:szCs w:val="20"/>
              </w:rPr>
            </w:pPr>
            <w:r w:rsidRPr="00775AAD">
              <w:rPr>
                <w:sz w:val="20"/>
                <w:szCs w:val="20"/>
              </w:rPr>
              <w:t>Products that offer real-time medication intake monitoring are valued by healthcare providers, especially pharmacists. However, essential determinants related to pharmacy workflow—along with patients and product factors</w:t>
            </w:r>
          </w:p>
        </w:tc>
        <w:tc>
          <w:tcPr>
            <w:tcW w:w="921" w:type="pct"/>
          </w:tcPr>
          <w:p w14:paraId="42CCDD31" w14:textId="77777777" w:rsidR="00EC3ABE" w:rsidRPr="00775AAD" w:rsidRDefault="00EC3ABE" w:rsidP="00EC3ABE">
            <w:pPr>
              <w:spacing w:after="200"/>
              <w:rPr>
                <w:color w:val="000000" w:themeColor="text1"/>
                <w:sz w:val="20"/>
                <w:szCs w:val="20"/>
              </w:rPr>
            </w:pPr>
            <w:r w:rsidRPr="00775AAD">
              <w:rPr>
                <w:sz w:val="20"/>
                <w:szCs w:val="20"/>
              </w:rPr>
              <w:t>Mixed-method pilot study</w:t>
            </w:r>
          </w:p>
        </w:tc>
        <w:tc>
          <w:tcPr>
            <w:tcW w:w="851" w:type="pct"/>
          </w:tcPr>
          <w:p w14:paraId="484E73F9" w14:textId="77777777" w:rsidR="00EC3ABE" w:rsidRPr="00775AAD" w:rsidRDefault="00EC3ABE" w:rsidP="00EC3ABE">
            <w:pPr>
              <w:spacing w:after="200"/>
              <w:rPr>
                <w:color w:val="000000" w:themeColor="text1"/>
                <w:sz w:val="20"/>
                <w:szCs w:val="20"/>
              </w:rPr>
            </w:pPr>
          </w:p>
        </w:tc>
      </w:tr>
      <w:tr w:rsidR="00EC3ABE" w:rsidRPr="00775AAD" w14:paraId="28F18838" w14:textId="77777777" w:rsidTr="00EC3ABE">
        <w:trPr>
          <w:trHeight w:val="1011"/>
        </w:trPr>
        <w:tc>
          <w:tcPr>
            <w:tcW w:w="625" w:type="pct"/>
          </w:tcPr>
          <w:p w14:paraId="69DF1B5E" w14:textId="77777777" w:rsidR="00EC3ABE" w:rsidRPr="00775AAD" w:rsidRDefault="00EC3ABE" w:rsidP="00EC3ABE">
            <w:pPr>
              <w:spacing w:after="200"/>
              <w:ind w:hanging="2"/>
              <w:rPr>
                <w:sz w:val="20"/>
                <w:szCs w:val="20"/>
              </w:rPr>
            </w:pPr>
            <w:r w:rsidRPr="00775AAD">
              <w:rPr>
                <w:sz w:val="20"/>
                <w:szCs w:val="20"/>
              </w:rPr>
              <w:t xml:space="preserve">Friedberg, R. D., Neelley, M., Zucker, J., Hanna, A., Mendelsohn, A., Greenberger, A., &amp; Dunevich, N. (2024). </w:t>
            </w:r>
          </w:p>
          <w:p w14:paraId="2F29DEC2" w14:textId="77777777" w:rsidR="00EC3ABE" w:rsidRPr="00775AAD" w:rsidRDefault="00EC3ABE" w:rsidP="00EC3ABE">
            <w:pPr>
              <w:spacing w:after="200"/>
              <w:rPr>
                <w:sz w:val="20"/>
                <w:szCs w:val="20"/>
              </w:rPr>
            </w:pPr>
          </w:p>
        </w:tc>
        <w:tc>
          <w:tcPr>
            <w:tcW w:w="557" w:type="pct"/>
          </w:tcPr>
          <w:p w14:paraId="74538ABF" w14:textId="1576DF45"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lastRenderedPageBreak/>
              <w:t>Level II</w:t>
            </w:r>
            <w:r>
              <w:rPr>
                <w:rFonts w:eastAsia="Calibri"/>
                <w:color w:val="000000" w:themeColor="text1"/>
                <w:sz w:val="20"/>
                <w:szCs w:val="20"/>
              </w:rPr>
              <w:t>I</w:t>
            </w:r>
          </w:p>
          <w:p w14:paraId="7DC89A92" w14:textId="5CF9F366"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Quality</w:t>
            </w:r>
            <w:r>
              <w:rPr>
                <w:rFonts w:eastAsia="Calibri"/>
                <w:color w:val="000000" w:themeColor="text1"/>
                <w:sz w:val="20"/>
                <w:szCs w:val="20"/>
              </w:rPr>
              <w:t xml:space="preserve"> </w:t>
            </w:r>
            <w:r w:rsidRPr="00775AAD">
              <w:rPr>
                <w:rFonts w:eastAsia="Calibri"/>
                <w:color w:val="000000" w:themeColor="text1"/>
                <w:sz w:val="20"/>
                <w:szCs w:val="20"/>
              </w:rPr>
              <w:t>A</w:t>
            </w:r>
            <w:r>
              <w:rPr>
                <w:rFonts w:eastAsia="Calibri"/>
                <w:color w:val="000000" w:themeColor="text1"/>
                <w:sz w:val="20"/>
                <w:szCs w:val="20"/>
              </w:rPr>
              <w:t xml:space="preserve">/B </w:t>
            </w:r>
            <w:r w:rsidRPr="00775AAD">
              <w:rPr>
                <w:rFonts w:eastAsia="Calibri"/>
                <w:color w:val="000000" w:themeColor="text1"/>
                <w:sz w:val="20"/>
                <w:szCs w:val="20"/>
              </w:rPr>
              <w:t>(Good)</w:t>
            </w:r>
          </w:p>
        </w:tc>
        <w:tc>
          <w:tcPr>
            <w:tcW w:w="1062" w:type="pct"/>
          </w:tcPr>
          <w:p w14:paraId="13DECB74" w14:textId="77777777" w:rsidR="00EC3ABE" w:rsidRPr="00775AAD" w:rsidRDefault="00EC3ABE" w:rsidP="00EC3ABE">
            <w:pPr>
              <w:spacing w:after="200"/>
              <w:rPr>
                <w:color w:val="000000" w:themeColor="text1"/>
                <w:sz w:val="20"/>
                <w:szCs w:val="20"/>
              </w:rPr>
            </w:pPr>
            <w:r w:rsidRPr="00775AAD">
              <w:rPr>
                <w:sz w:val="20"/>
                <w:szCs w:val="20"/>
              </w:rPr>
              <w:t xml:space="preserve">Psychoeducational interventions are unobtrusive and straightforward techniques that can be readily implemented by CBT clinicians and pharmacists. For example, pharmacists, nurses, and physician assistants could be trained in </w:t>
            </w:r>
            <w:r w:rsidRPr="00775AAD">
              <w:rPr>
                <w:sz w:val="20"/>
                <w:szCs w:val="20"/>
              </w:rPr>
              <w:lastRenderedPageBreak/>
              <w:t>psychoeducational procedures for pill swallowing</w:t>
            </w:r>
          </w:p>
        </w:tc>
        <w:tc>
          <w:tcPr>
            <w:tcW w:w="983" w:type="pct"/>
          </w:tcPr>
          <w:p w14:paraId="652FD0B8" w14:textId="77777777" w:rsidR="00EC3ABE" w:rsidRPr="00775AAD" w:rsidRDefault="00EC3ABE" w:rsidP="00EC3ABE">
            <w:pPr>
              <w:spacing w:after="200"/>
              <w:rPr>
                <w:color w:val="000000" w:themeColor="text1"/>
                <w:sz w:val="20"/>
                <w:szCs w:val="20"/>
              </w:rPr>
            </w:pPr>
          </w:p>
        </w:tc>
        <w:tc>
          <w:tcPr>
            <w:tcW w:w="921" w:type="pct"/>
          </w:tcPr>
          <w:p w14:paraId="766709CB" w14:textId="77777777" w:rsidR="00EC3ABE" w:rsidRPr="00775AAD" w:rsidRDefault="00EC3ABE" w:rsidP="00EC3ABE">
            <w:pPr>
              <w:spacing w:after="200"/>
              <w:rPr>
                <w:color w:val="000000" w:themeColor="text1"/>
                <w:sz w:val="20"/>
                <w:szCs w:val="20"/>
              </w:rPr>
            </w:pPr>
            <w:r w:rsidRPr="00775AAD">
              <w:rPr>
                <w:sz w:val="20"/>
                <w:szCs w:val="20"/>
              </w:rPr>
              <w:t>Qualitative systematic review</w:t>
            </w:r>
          </w:p>
        </w:tc>
        <w:tc>
          <w:tcPr>
            <w:tcW w:w="851" w:type="pct"/>
          </w:tcPr>
          <w:p w14:paraId="69EFA09D" w14:textId="77777777" w:rsidR="00EC3ABE" w:rsidRPr="00775AAD" w:rsidRDefault="00EC3ABE" w:rsidP="00EC3ABE">
            <w:pPr>
              <w:spacing w:after="200"/>
              <w:rPr>
                <w:color w:val="000000" w:themeColor="text1"/>
                <w:sz w:val="20"/>
                <w:szCs w:val="20"/>
              </w:rPr>
            </w:pPr>
            <w:r w:rsidRPr="00775AAD">
              <w:rPr>
                <w:sz w:val="20"/>
                <w:szCs w:val="20"/>
              </w:rPr>
              <w:t>Qualitative systematic review</w:t>
            </w:r>
          </w:p>
        </w:tc>
      </w:tr>
      <w:tr w:rsidR="00EC3ABE" w:rsidRPr="00775AAD" w14:paraId="2E0F553A" w14:textId="77777777" w:rsidTr="00EC3ABE">
        <w:trPr>
          <w:trHeight w:val="1011"/>
        </w:trPr>
        <w:tc>
          <w:tcPr>
            <w:tcW w:w="625" w:type="pct"/>
          </w:tcPr>
          <w:p w14:paraId="5503965F" w14:textId="77777777" w:rsidR="00EC3ABE" w:rsidRPr="00775AAD" w:rsidRDefault="00EC3ABE" w:rsidP="00EC3ABE">
            <w:pPr>
              <w:spacing w:after="200"/>
              <w:ind w:hanging="2"/>
              <w:rPr>
                <w:sz w:val="20"/>
                <w:szCs w:val="20"/>
              </w:rPr>
            </w:pPr>
            <w:r w:rsidRPr="00775AAD">
              <w:rPr>
                <w:sz w:val="20"/>
                <w:szCs w:val="20"/>
              </w:rPr>
              <w:t xml:space="preserve">Fusco, N., Sils, B., Graff, J.S., Kistler, K., &amp; Ruiz, K. (2023). </w:t>
            </w:r>
          </w:p>
          <w:p w14:paraId="05ACA60A" w14:textId="77777777" w:rsidR="00EC3ABE" w:rsidRPr="00775AAD" w:rsidRDefault="00EC3ABE" w:rsidP="00EC3ABE">
            <w:pPr>
              <w:spacing w:after="200"/>
              <w:ind w:hanging="2"/>
              <w:rPr>
                <w:sz w:val="20"/>
                <w:szCs w:val="20"/>
              </w:rPr>
            </w:pPr>
          </w:p>
        </w:tc>
        <w:tc>
          <w:tcPr>
            <w:tcW w:w="557" w:type="pct"/>
          </w:tcPr>
          <w:p w14:paraId="4B6A73D9" w14:textId="785399C3"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Level I</w:t>
            </w:r>
            <w:r>
              <w:rPr>
                <w:rFonts w:eastAsia="Calibri"/>
                <w:color w:val="000000" w:themeColor="text1"/>
                <w:sz w:val="20"/>
                <w:szCs w:val="20"/>
              </w:rPr>
              <w:t>II</w:t>
            </w:r>
          </w:p>
          <w:p w14:paraId="76702D41" w14:textId="5A3ED218"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Quality</w:t>
            </w:r>
            <w:r>
              <w:rPr>
                <w:rFonts w:eastAsia="Calibri"/>
                <w:color w:val="000000" w:themeColor="text1"/>
                <w:sz w:val="20"/>
                <w:szCs w:val="20"/>
              </w:rPr>
              <w:t xml:space="preserve"> </w:t>
            </w:r>
            <w:r w:rsidRPr="00775AAD">
              <w:rPr>
                <w:rFonts w:eastAsia="Calibri"/>
                <w:color w:val="000000" w:themeColor="text1"/>
                <w:sz w:val="20"/>
                <w:szCs w:val="20"/>
              </w:rPr>
              <w:t>A</w:t>
            </w:r>
            <w:r>
              <w:rPr>
                <w:rFonts w:eastAsia="Calibri"/>
                <w:color w:val="000000" w:themeColor="text1"/>
                <w:sz w:val="20"/>
                <w:szCs w:val="20"/>
              </w:rPr>
              <w:t xml:space="preserve"> </w:t>
            </w:r>
            <w:r w:rsidRPr="00775AAD">
              <w:rPr>
                <w:rFonts w:eastAsia="Calibri"/>
                <w:color w:val="000000" w:themeColor="text1"/>
                <w:sz w:val="20"/>
                <w:szCs w:val="20"/>
              </w:rPr>
              <w:t>(High Quality)</w:t>
            </w:r>
          </w:p>
        </w:tc>
        <w:tc>
          <w:tcPr>
            <w:tcW w:w="1062" w:type="pct"/>
          </w:tcPr>
          <w:p w14:paraId="4885123F" w14:textId="77777777" w:rsidR="00EC3ABE" w:rsidRPr="00775AAD" w:rsidRDefault="00EC3ABE" w:rsidP="00EC3ABE">
            <w:pPr>
              <w:spacing w:after="200"/>
              <w:rPr>
                <w:sz w:val="20"/>
                <w:szCs w:val="20"/>
              </w:rPr>
            </w:pPr>
            <w:r w:rsidRPr="00775AAD">
              <w:rPr>
                <w:sz w:val="20"/>
                <w:szCs w:val="20"/>
              </w:rPr>
              <w:t>To assess the relationship and factors associated with cost-sharing and (1) medication adherence, (2) clinical outcomes, (3) health care resource utilization (HRU), and (4) costs.</w:t>
            </w:r>
          </w:p>
        </w:tc>
        <w:tc>
          <w:tcPr>
            <w:tcW w:w="983" w:type="pct"/>
          </w:tcPr>
          <w:p w14:paraId="3419C9A3" w14:textId="77777777" w:rsidR="00EC3ABE" w:rsidRPr="00775AAD" w:rsidRDefault="00EC3ABE" w:rsidP="00EC3ABE">
            <w:pPr>
              <w:spacing w:after="200"/>
              <w:rPr>
                <w:sz w:val="20"/>
                <w:szCs w:val="20"/>
              </w:rPr>
            </w:pPr>
            <w:r w:rsidRPr="00775AAD">
              <w:rPr>
                <w:sz w:val="20"/>
                <w:szCs w:val="20"/>
              </w:rPr>
              <w:t>Today’s cost-containment environment should carefully consider the broader impacts of cost-sharing on treatment adherence, clinical outcomes, resource use, and total costs. It may be that cost-sharing is a blunt rather than precise tool to curb healthcare costs, affecting both necessary and unnecessary use.</w:t>
            </w:r>
          </w:p>
        </w:tc>
        <w:tc>
          <w:tcPr>
            <w:tcW w:w="921" w:type="pct"/>
          </w:tcPr>
          <w:p w14:paraId="5C594862" w14:textId="77777777" w:rsidR="00EC3ABE" w:rsidRPr="00775AAD" w:rsidRDefault="00EC3ABE" w:rsidP="00EC3ABE">
            <w:pPr>
              <w:spacing w:after="200"/>
              <w:rPr>
                <w:sz w:val="20"/>
                <w:szCs w:val="20"/>
              </w:rPr>
            </w:pPr>
            <w:r w:rsidRPr="00775AAD">
              <w:rPr>
                <w:sz w:val="20"/>
                <w:szCs w:val="20"/>
              </w:rPr>
              <w:t>Qualitative systematic review</w:t>
            </w:r>
          </w:p>
        </w:tc>
        <w:tc>
          <w:tcPr>
            <w:tcW w:w="851" w:type="pct"/>
          </w:tcPr>
          <w:p w14:paraId="683AAD18" w14:textId="77777777" w:rsidR="00EC3ABE" w:rsidRPr="00775AAD" w:rsidRDefault="00EC3ABE" w:rsidP="00EC3ABE">
            <w:pPr>
              <w:spacing w:after="200"/>
              <w:rPr>
                <w:sz w:val="20"/>
                <w:szCs w:val="20"/>
              </w:rPr>
            </w:pPr>
            <w:r w:rsidRPr="00775AAD">
              <w:rPr>
                <w:sz w:val="20"/>
                <w:szCs w:val="20"/>
              </w:rPr>
              <w:t>Qualitative systematic review</w:t>
            </w:r>
          </w:p>
        </w:tc>
      </w:tr>
      <w:tr w:rsidR="00EC3ABE" w:rsidRPr="00775AAD" w14:paraId="24A7A5F3" w14:textId="77777777" w:rsidTr="00EC3ABE">
        <w:trPr>
          <w:trHeight w:val="548"/>
        </w:trPr>
        <w:tc>
          <w:tcPr>
            <w:tcW w:w="625" w:type="pct"/>
          </w:tcPr>
          <w:p w14:paraId="1D454DF1" w14:textId="77777777" w:rsidR="00EC3ABE" w:rsidRPr="00775AAD" w:rsidRDefault="00EC3ABE" w:rsidP="00EC3ABE">
            <w:pPr>
              <w:spacing w:after="200"/>
              <w:ind w:hanging="2"/>
              <w:rPr>
                <w:sz w:val="20"/>
                <w:szCs w:val="20"/>
              </w:rPr>
            </w:pPr>
            <w:r w:rsidRPr="00775AAD">
              <w:rPr>
                <w:sz w:val="20"/>
                <w:szCs w:val="20"/>
              </w:rPr>
              <w:t xml:space="preserve">Gentili, A., Failla, G., Melnyk, A., Puleo, V., Tanna, G. L. D., Ricciardi, W., &amp; Cascini, F. (2022). </w:t>
            </w:r>
          </w:p>
          <w:p w14:paraId="06CBCF0D" w14:textId="77777777" w:rsidR="00EC3ABE" w:rsidRPr="00775AAD" w:rsidRDefault="00EC3ABE" w:rsidP="00EC3ABE">
            <w:pPr>
              <w:spacing w:after="200"/>
              <w:ind w:hanging="2"/>
              <w:rPr>
                <w:sz w:val="20"/>
                <w:szCs w:val="20"/>
              </w:rPr>
            </w:pPr>
          </w:p>
        </w:tc>
        <w:tc>
          <w:tcPr>
            <w:tcW w:w="557" w:type="pct"/>
          </w:tcPr>
          <w:p w14:paraId="53D2D78D" w14:textId="3A3ED8D5"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Level II</w:t>
            </w:r>
            <w:r>
              <w:rPr>
                <w:rFonts w:eastAsia="Calibri"/>
                <w:color w:val="000000" w:themeColor="text1"/>
                <w:sz w:val="20"/>
                <w:szCs w:val="20"/>
              </w:rPr>
              <w:t>I</w:t>
            </w:r>
          </w:p>
          <w:p w14:paraId="53756D22" w14:textId="473E6E66"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Quality A</w:t>
            </w:r>
            <w:r>
              <w:rPr>
                <w:rFonts w:eastAsia="Calibri"/>
                <w:color w:val="000000" w:themeColor="text1"/>
                <w:sz w:val="20"/>
                <w:szCs w:val="20"/>
              </w:rPr>
              <w:t xml:space="preserve"> </w:t>
            </w:r>
            <w:r w:rsidRPr="00775AAD">
              <w:rPr>
                <w:rFonts w:eastAsia="Calibri"/>
                <w:color w:val="000000" w:themeColor="text1"/>
                <w:sz w:val="20"/>
                <w:szCs w:val="20"/>
              </w:rPr>
              <w:t>(High Quality)</w:t>
            </w:r>
          </w:p>
        </w:tc>
        <w:tc>
          <w:tcPr>
            <w:tcW w:w="1062" w:type="pct"/>
          </w:tcPr>
          <w:p w14:paraId="5AE8A437" w14:textId="77777777" w:rsidR="00EC3ABE" w:rsidRPr="00775AAD" w:rsidRDefault="00EC3ABE" w:rsidP="00EC3ABE">
            <w:pPr>
              <w:spacing w:after="200"/>
              <w:rPr>
                <w:sz w:val="20"/>
                <w:szCs w:val="20"/>
              </w:rPr>
            </w:pPr>
            <w:r w:rsidRPr="00775AAD">
              <w:rPr>
                <w:sz w:val="20"/>
                <w:szCs w:val="20"/>
              </w:rPr>
              <w:t>The aim of this systematic review is to summarize the evidence on the cost-effectiveness of digital health interventions and to assess whether the studies meet the established quality criteria.</w:t>
            </w:r>
          </w:p>
        </w:tc>
        <w:tc>
          <w:tcPr>
            <w:tcW w:w="983" w:type="pct"/>
          </w:tcPr>
          <w:p w14:paraId="29F0BD48" w14:textId="77777777" w:rsidR="00EC3ABE" w:rsidRPr="00775AAD" w:rsidRDefault="00EC3ABE" w:rsidP="00EC3ABE">
            <w:pPr>
              <w:spacing w:after="200"/>
              <w:rPr>
                <w:sz w:val="20"/>
                <w:szCs w:val="20"/>
              </w:rPr>
            </w:pPr>
            <w:r w:rsidRPr="00775AAD">
              <w:rPr>
                <w:sz w:val="20"/>
                <w:szCs w:val="20"/>
              </w:rPr>
              <w:t xml:space="preserve">Search identified 1,476 results, 552 of which were selected for abstract, and 35 were included in this review. The studies were heterogeneous in terms of countries (mostly conducted in upper- and upper-middle-income countries), the type of eHealth intervention, the method of implementation, </w:t>
            </w:r>
            <w:r w:rsidRPr="00775AAD">
              <w:rPr>
                <w:sz w:val="20"/>
                <w:szCs w:val="20"/>
              </w:rPr>
              <w:lastRenderedPageBreak/>
              <w:t xml:space="preserve">and the reporting perspective. </w:t>
            </w:r>
          </w:p>
        </w:tc>
        <w:tc>
          <w:tcPr>
            <w:tcW w:w="921" w:type="pct"/>
          </w:tcPr>
          <w:p w14:paraId="139A2AD5" w14:textId="77777777" w:rsidR="00EC3ABE" w:rsidRPr="00775AAD" w:rsidRDefault="00EC3ABE" w:rsidP="00EC3ABE">
            <w:pPr>
              <w:spacing w:after="200"/>
              <w:rPr>
                <w:sz w:val="20"/>
                <w:szCs w:val="20"/>
              </w:rPr>
            </w:pPr>
            <w:r w:rsidRPr="00775AAD">
              <w:rPr>
                <w:sz w:val="20"/>
                <w:szCs w:val="20"/>
              </w:rPr>
              <w:lastRenderedPageBreak/>
              <w:t>Qualitative systematic review</w:t>
            </w:r>
          </w:p>
        </w:tc>
        <w:tc>
          <w:tcPr>
            <w:tcW w:w="851" w:type="pct"/>
          </w:tcPr>
          <w:p w14:paraId="1C69DF49" w14:textId="77777777" w:rsidR="00EC3ABE" w:rsidRPr="00775AAD" w:rsidRDefault="00EC3ABE" w:rsidP="00EC3ABE">
            <w:pPr>
              <w:spacing w:after="200"/>
              <w:rPr>
                <w:sz w:val="20"/>
                <w:szCs w:val="20"/>
              </w:rPr>
            </w:pPr>
            <w:r w:rsidRPr="00775AAD">
              <w:rPr>
                <w:sz w:val="20"/>
                <w:szCs w:val="20"/>
              </w:rPr>
              <w:t>Further research, using a standardized approach, is needed to systematically analyze incremental cost-effectiveness ratios, costs, and health benefits.</w:t>
            </w:r>
          </w:p>
        </w:tc>
      </w:tr>
      <w:tr w:rsidR="00EC3ABE" w:rsidRPr="00775AAD" w14:paraId="7D67172D" w14:textId="77777777" w:rsidTr="00EC3ABE">
        <w:trPr>
          <w:trHeight w:val="1011"/>
        </w:trPr>
        <w:tc>
          <w:tcPr>
            <w:tcW w:w="625" w:type="pct"/>
          </w:tcPr>
          <w:p w14:paraId="6F28239E" w14:textId="4F9898AB" w:rsidR="00EC3ABE" w:rsidRPr="008F02C4" w:rsidRDefault="00EC3ABE" w:rsidP="00EC3ABE">
            <w:pPr>
              <w:spacing w:after="200"/>
              <w:ind w:hanging="2"/>
              <w:rPr>
                <w:sz w:val="20"/>
                <w:szCs w:val="20"/>
                <w:lang w:val="es-ES"/>
              </w:rPr>
            </w:pPr>
            <w:r w:rsidRPr="008F02C4">
              <w:rPr>
                <w:sz w:val="20"/>
                <w:szCs w:val="20"/>
                <w:lang w:val="es-ES"/>
              </w:rPr>
              <w:t xml:space="preserve">Gil-Guillén, V. F., Balsa, A., Bernárdez, B., Valdés y Llorca, C., Márquez-Contreras, E., de la Haba-Rodríguez, J., Castellano, J. M., &amp; Gómez-Martínez, J. (2022). </w:t>
            </w:r>
          </w:p>
        </w:tc>
        <w:tc>
          <w:tcPr>
            <w:tcW w:w="557" w:type="pct"/>
          </w:tcPr>
          <w:p w14:paraId="71EB53BD" w14:textId="77777777" w:rsidR="00EC3ABE" w:rsidRPr="00775AAD" w:rsidRDefault="00EC3ABE" w:rsidP="00EC3ABE">
            <w:pPr>
              <w:spacing w:after="200"/>
              <w:rPr>
                <w:sz w:val="20"/>
                <w:szCs w:val="20"/>
              </w:rPr>
            </w:pPr>
            <w:r w:rsidRPr="00775AAD">
              <w:rPr>
                <w:sz w:val="20"/>
                <w:szCs w:val="20"/>
              </w:rPr>
              <w:t>Level III</w:t>
            </w:r>
          </w:p>
          <w:p w14:paraId="0FC9B8B7" w14:textId="20EC8966" w:rsidR="00EC3ABE" w:rsidRPr="00775AAD" w:rsidRDefault="00EC3ABE" w:rsidP="00EC3ABE">
            <w:pPr>
              <w:spacing w:after="200"/>
              <w:rPr>
                <w:rFonts w:eastAsia="Calibri"/>
                <w:color w:val="000000" w:themeColor="text1"/>
                <w:sz w:val="20"/>
                <w:szCs w:val="20"/>
              </w:rPr>
            </w:pPr>
            <w:r w:rsidRPr="00775AAD">
              <w:rPr>
                <w:sz w:val="20"/>
                <w:szCs w:val="20"/>
              </w:rPr>
              <w:t>Quality A</w:t>
            </w:r>
            <w:r>
              <w:rPr>
                <w:sz w:val="20"/>
                <w:szCs w:val="20"/>
              </w:rPr>
              <w:t xml:space="preserve"> </w:t>
            </w:r>
            <w:r w:rsidRPr="00775AAD">
              <w:rPr>
                <w:sz w:val="20"/>
                <w:szCs w:val="20"/>
              </w:rPr>
              <w:t>(High Quality)</w:t>
            </w:r>
          </w:p>
        </w:tc>
        <w:tc>
          <w:tcPr>
            <w:tcW w:w="1062" w:type="pct"/>
          </w:tcPr>
          <w:p w14:paraId="48C00691" w14:textId="77777777" w:rsidR="00EC3ABE" w:rsidRPr="00775AAD" w:rsidRDefault="00EC3ABE" w:rsidP="00EC3ABE">
            <w:pPr>
              <w:spacing w:after="200"/>
              <w:rPr>
                <w:sz w:val="20"/>
                <w:szCs w:val="20"/>
              </w:rPr>
            </w:pPr>
            <w:r w:rsidRPr="00775AAD">
              <w:rPr>
                <w:sz w:val="20"/>
                <w:szCs w:val="20"/>
              </w:rPr>
              <w:t xml:space="preserve">A total of 439 articles/reviews were found in databases. Once the selection and classification criteria were applied, the experts selected a total of 140 articles/reviews at the end of phase 1 (rheumatology: 18; oncology: 25; cardiology: 10; and general: 87). </w:t>
            </w:r>
          </w:p>
        </w:tc>
        <w:tc>
          <w:tcPr>
            <w:tcW w:w="983" w:type="pct"/>
          </w:tcPr>
          <w:p w14:paraId="09C8CA76"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This study describes specific non-adherence risk factors in rheumatology, oncology, and cardiology, as well as shared risk factors. It also provides a summary of interventions that can be implemented as potential strategies to improve adherence.</w:t>
            </w:r>
          </w:p>
          <w:p w14:paraId="770BC5EA" w14:textId="77777777" w:rsidR="00EC3ABE" w:rsidRPr="00775AAD" w:rsidRDefault="00EC3ABE" w:rsidP="00EC3ABE">
            <w:pPr>
              <w:spacing w:after="200"/>
              <w:rPr>
                <w:sz w:val="20"/>
                <w:szCs w:val="20"/>
              </w:rPr>
            </w:pPr>
          </w:p>
        </w:tc>
        <w:tc>
          <w:tcPr>
            <w:tcW w:w="921" w:type="pct"/>
          </w:tcPr>
          <w:p w14:paraId="3F755DBF" w14:textId="2D5FCF18"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Although no individual intervention has been identified with significant confidence in improving adherence in general, it is possible to design maps that interrelate risk factors and interventions, or multifaceted interventions.</w:t>
            </w:r>
          </w:p>
        </w:tc>
        <w:tc>
          <w:tcPr>
            <w:tcW w:w="851" w:type="pct"/>
          </w:tcPr>
          <w:p w14:paraId="149A4573" w14:textId="77777777" w:rsidR="00EC3ABE" w:rsidRPr="00775AAD" w:rsidRDefault="00EC3ABE" w:rsidP="00EC3ABE">
            <w:pPr>
              <w:spacing w:after="200"/>
              <w:rPr>
                <w:sz w:val="20"/>
                <w:szCs w:val="20"/>
              </w:rPr>
            </w:pPr>
            <w:r w:rsidRPr="00775AAD">
              <w:rPr>
                <w:sz w:val="20"/>
                <w:szCs w:val="20"/>
              </w:rPr>
              <w:t>Qualitative systematic review</w:t>
            </w:r>
          </w:p>
        </w:tc>
      </w:tr>
      <w:tr w:rsidR="00EC3ABE" w:rsidRPr="00775AAD" w14:paraId="65F4AF1C" w14:textId="77777777" w:rsidTr="00EC3ABE">
        <w:trPr>
          <w:trHeight w:val="1011"/>
        </w:trPr>
        <w:tc>
          <w:tcPr>
            <w:tcW w:w="625" w:type="pct"/>
          </w:tcPr>
          <w:p w14:paraId="76F127B5" w14:textId="77777777" w:rsidR="00EC3ABE" w:rsidRPr="00775AAD" w:rsidRDefault="00EC3ABE" w:rsidP="00EC3ABE">
            <w:pPr>
              <w:spacing w:after="200"/>
              <w:ind w:hanging="2"/>
              <w:rPr>
                <w:sz w:val="20"/>
                <w:szCs w:val="20"/>
              </w:rPr>
            </w:pPr>
            <w:r w:rsidRPr="00775AAD">
              <w:rPr>
                <w:sz w:val="20"/>
                <w:szCs w:val="20"/>
              </w:rPr>
              <w:t>Glasgow, R. E., Knoepke, C. E., Magid, D., Grunwald, G. K., Glorioso, T. J., Waughtal, J., Marrs, J.C., Bull, S. &amp; Ho, P. M. (2021).</w:t>
            </w:r>
          </w:p>
        </w:tc>
        <w:tc>
          <w:tcPr>
            <w:tcW w:w="557" w:type="pct"/>
          </w:tcPr>
          <w:p w14:paraId="1C8D4F74" w14:textId="77777777"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Level III</w:t>
            </w:r>
          </w:p>
          <w:p w14:paraId="3F975098" w14:textId="73DF4DF9"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Quality</w:t>
            </w:r>
            <w:r>
              <w:rPr>
                <w:rFonts w:eastAsia="Calibri"/>
                <w:color w:val="000000" w:themeColor="text1"/>
                <w:sz w:val="20"/>
                <w:szCs w:val="20"/>
              </w:rPr>
              <w:t xml:space="preserve"> </w:t>
            </w:r>
            <w:r w:rsidRPr="00775AAD">
              <w:rPr>
                <w:rFonts w:eastAsia="Calibri"/>
                <w:color w:val="000000" w:themeColor="text1"/>
                <w:sz w:val="20"/>
                <w:szCs w:val="20"/>
              </w:rPr>
              <w:t>A/B</w:t>
            </w:r>
            <w:r>
              <w:rPr>
                <w:rFonts w:eastAsia="Calibri"/>
                <w:color w:val="000000" w:themeColor="text1"/>
                <w:sz w:val="20"/>
                <w:szCs w:val="20"/>
              </w:rPr>
              <w:t xml:space="preserve"> </w:t>
            </w:r>
            <w:r w:rsidRPr="00775AAD">
              <w:rPr>
                <w:rFonts w:eastAsia="Calibri"/>
                <w:color w:val="000000" w:themeColor="text1"/>
                <w:sz w:val="20"/>
                <w:szCs w:val="20"/>
              </w:rPr>
              <w:t>(High/Good)</w:t>
            </w:r>
          </w:p>
        </w:tc>
        <w:tc>
          <w:tcPr>
            <w:tcW w:w="1062" w:type="pct"/>
          </w:tcPr>
          <w:p w14:paraId="2AFB9DCE"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 xml:space="preserve">The primary effectiveness outcome is medication adherence, defined as the proportion of days covered (PDC) based on pharmacy refill data. Implementation outcomes are assessed using the RE-AIM framework, with particular focus on reach, implementation consistency, adaptations, cost, and maintenance/sustainability. </w:t>
            </w:r>
          </w:p>
        </w:tc>
        <w:tc>
          <w:tcPr>
            <w:tcW w:w="983" w:type="pct"/>
          </w:tcPr>
          <w:p w14:paraId="11E19F5C" w14:textId="77777777" w:rsidR="00EC3ABE" w:rsidRPr="00775AAD" w:rsidRDefault="00EC3ABE" w:rsidP="00EC3ABE">
            <w:pPr>
              <w:spacing w:after="200"/>
              <w:rPr>
                <w:sz w:val="20"/>
                <w:szCs w:val="20"/>
              </w:rPr>
            </w:pPr>
            <w:r w:rsidRPr="00775AAD">
              <w:rPr>
                <w:sz w:val="20"/>
                <w:szCs w:val="20"/>
              </w:rPr>
              <w:t>Nearly half of patients do not take their cardiovascular medications as prescribed. Mobile and digital technologies for health promotion and disease self-management offer an opportunity to adapt behavioral “nudges” via ubiquitous mobile phones to facilitate medication adherence.</w:t>
            </w:r>
          </w:p>
        </w:tc>
        <w:tc>
          <w:tcPr>
            <w:tcW w:w="921" w:type="pct"/>
          </w:tcPr>
          <w:p w14:paraId="17AB56C1"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 xml:space="preserve">The project has limitations, including limited power to detect some subgroup effects, medication complications (such as bleeding), and longer-term outcomes (such as myocardial infarction). </w:t>
            </w:r>
          </w:p>
        </w:tc>
        <w:tc>
          <w:tcPr>
            <w:tcW w:w="851" w:type="pct"/>
          </w:tcPr>
          <w:p w14:paraId="232BE4C9"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N/A (pilot study)</w:t>
            </w:r>
          </w:p>
        </w:tc>
      </w:tr>
      <w:tr w:rsidR="00EC3ABE" w:rsidRPr="00775AAD" w14:paraId="2FA0A831" w14:textId="77777777" w:rsidTr="00EC3ABE">
        <w:trPr>
          <w:trHeight w:val="1011"/>
        </w:trPr>
        <w:tc>
          <w:tcPr>
            <w:tcW w:w="625" w:type="pct"/>
          </w:tcPr>
          <w:p w14:paraId="76EEB8EF" w14:textId="77777777" w:rsidR="00EC3ABE" w:rsidRPr="00775AAD" w:rsidRDefault="00EC3ABE" w:rsidP="00EC3ABE">
            <w:pPr>
              <w:spacing w:after="200"/>
              <w:ind w:hanging="2"/>
              <w:rPr>
                <w:sz w:val="20"/>
                <w:szCs w:val="20"/>
              </w:rPr>
            </w:pPr>
            <w:r w:rsidRPr="00775AAD">
              <w:rPr>
                <w:sz w:val="20"/>
                <w:szCs w:val="20"/>
              </w:rPr>
              <w:lastRenderedPageBreak/>
              <w:t>Gohil, S., Majd, Z., Sheneman, J. C., &amp; Abughosh, S. M. (2022).</w:t>
            </w:r>
          </w:p>
        </w:tc>
        <w:tc>
          <w:tcPr>
            <w:tcW w:w="557" w:type="pct"/>
          </w:tcPr>
          <w:p w14:paraId="3F399B04" w14:textId="77777777"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Level III</w:t>
            </w:r>
          </w:p>
          <w:p w14:paraId="5A616AD1" w14:textId="2694F9EA"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Quality</w:t>
            </w:r>
            <w:r>
              <w:rPr>
                <w:rFonts w:eastAsia="Calibri"/>
                <w:color w:val="000000" w:themeColor="text1"/>
                <w:sz w:val="20"/>
                <w:szCs w:val="20"/>
              </w:rPr>
              <w:t xml:space="preserve"> </w:t>
            </w:r>
            <w:r w:rsidRPr="00775AAD">
              <w:rPr>
                <w:rFonts w:eastAsia="Calibri"/>
                <w:color w:val="000000" w:themeColor="text1"/>
                <w:sz w:val="20"/>
                <w:szCs w:val="20"/>
              </w:rPr>
              <w:t>A/B</w:t>
            </w:r>
            <w:r>
              <w:rPr>
                <w:rFonts w:eastAsia="Calibri"/>
                <w:color w:val="000000" w:themeColor="text1"/>
                <w:sz w:val="20"/>
                <w:szCs w:val="20"/>
              </w:rPr>
              <w:t xml:space="preserve"> </w:t>
            </w:r>
            <w:r w:rsidRPr="00775AAD">
              <w:rPr>
                <w:rFonts w:eastAsia="Calibri"/>
                <w:color w:val="000000" w:themeColor="text1"/>
                <w:sz w:val="20"/>
                <w:szCs w:val="20"/>
              </w:rPr>
              <w:t>(High/Good)</w:t>
            </w:r>
          </w:p>
        </w:tc>
        <w:tc>
          <w:tcPr>
            <w:tcW w:w="1062" w:type="pct"/>
          </w:tcPr>
          <w:p w14:paraId="664BCC69"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To summarize existing literature examining interventions to enhance medication adherence and their effectiveness in enhancing care for inflammatory bowel disease (IBD) patients.</w:t>
            </w:r>
          </w:p>
          <w:p w14:paraId="04EDB4FC" w14:textId="77777777" w:rsidR="00EC3ABE" w:rsidRPr="00775AAD" w:rsidRDefault="00EC3ABE" w:rsidP="00EC3ABE">
            <w:pPr>
              <w:pStyle w:val="p1"/>
              <w:spacing w:after="200" w:line="240" w:lineRule="auto"/>
              <w:rPr>
                <w:rFonts w:ascii="Times New Roman" w:hAnsi="Times New Roman" w:cs="Times New Roman"/>
                <w:sz w:val="20"/>
                <w:szCs w:val="20"/>
              </w:rPr>
            </w:pPr>
          </w:p>
        </w:tc>
        <w:tc>
          <w:tcPr>
            <w:tcW w:w="983" w:type="pct"/>
          </w:tcPr>
          <w:p w14:paraId="2E44DD0C" w14:textId="77777777" w:rsidR="00EC3ABE" w:rsidRPr="00775AAD" w:rsidRDefault="00EC3ABE" w:rsidP="00EC3ABE">
            <w:pPr>
              <w:spacing w:after="200"/>
              <w:rPr>
                <w:sz w:val="20"/>
                <w:szCs w:val="20"/>
              </w:rPr>
            </w:pPr>
            <w:r w:rsidRPr="00775AAD">
              <w:rPr>
                <w:sz w:val="20"/>
                <w:szCs w:val="20"/>
              </w:rPr>
              <w:t>Our systematic literature search identified 488 published articles. Seventeen studies, involving a total of 7,073 patients, were included. Of 17 interventions, 5 were classified as educational, 8 as multicomponent, 3 as behavioral, and 1 as cognitive-behavioral. devices/pill dispensing systems.</w:t>
            </w:r>
          </w:p>
        </w:tc>
        <w:tc>
          <w:tcPr>
            <w:tcW w:w="921" w:type="pct"/>
          </w:tcPr>
          <w:p w14:paraId="22E0E35D"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There is literature on numerous interventions with different approaches to enhance medication adherence among patients with IBD. A summary of recent intervention types and their success in promoting adherence can provide valuable insights to aid the development of more effective interventions, ultimately improving health outcomes and patient quality of life.</w:t>
            </w:r>
          </w:p>
        </w:tc>
        <w:tc>
          <w:tcPr>
            <w:tcW w:w="851" w:type="pct"/>
          </w:tcPr>
          <w:p w14:paraId="287F1DA2"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Qualitative systematic review</w:t>
            </w:r>
          </w:p>
        </w:tc>
      </w:tr>
      <w:tr w:rsidR="00EC3ABE" w:rsidRPr="00775AAD" w14:paraId="0578D268" w14:textId="77777777" w:rsidTr="00EC3ABE">
        <w:trPr>
          <w:trHeight w:val="728"/>
        </w:trPr>
        <w:tc>
          <w:tcPr>
            <w:tcW w:w="625" w:type="pct"/>
          </w:tcPr>
          <w:p w14:paraId="41613F8F" w14:textId="77777777" w:rsidR="00EC3ABE" w:rsidRPr="008F02C4" w:rsidRDefault="00EC3ABE" w:rsidP="00EC3ABE">
            <w:pPr>
              <w:spacing w:after="200"/>
              <w:ind w:hanging="2"/>
              <w:rPr>
                <w:sz w:val="20"/>
                <w:szCs w:val="20"/>
                <w:lang w:val="es-ES"/>
              </w:rPr>
            </w:pPr>
            <w:r w:rsidRPr="008F02C4">
              <w:rPr>
                <w:sz w:val="20"/>
                <w:szCs w:val="20"/>
                <w:lang w:val="es-ES"/>
              </w:rPr>
              <w:t>González de León, B., del Pino-Sedeno, T., Serrano-Pérez, P., Rodríguez Álvarez, C., Bejarano-Quisoboni, D., &amp; Trujillo-Martín, M. M. (2022).</w:t>
            </w:r>
          </w:p>
        </w:tc>
        <w:tc>
          <w:tcPr>
            <w:tcW w:w="557" w:type="pct"/>
          </w:tcPr>
          <w:p w14:paraId="4AD03008" w14:textId="6815E2A2"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Level I</w:t>
            </w:r>
            <w:r>
              <w:rPr>
                <w:rFonts w:eastAsia="Calibri"/>
                <w:color w:val="000000" w:themeColor="text1"/>
                <w:sz w:val="20"/>
                <w:szCs w:val="20"/>
              </w:rPr>
              <w:t>II</w:t>
            </w:r>
          </w:p>
          <w:p w14:paraId="73B96770" w14:textId="3EB24DBC"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Quality</w:t>
            </w:r>
            <w:r>
              <w:rPr>
                <w:rFonts w:eastAsia="Calibri"/>
                <w:color w:val="000000" w:themeColor="text1"/>
                <w:sz w:val="20"/>
                <w:szCs w:val="20"/>
              </w:rPr>
              <w:t xml:space="preserve"> </w:t>
            </w:r>
            <w:r w:rsidRPr="00775AAD">
              <w:rPr>
                <w:rFonts w:eastAsia="Calibri"/>
                <w:color w:val="000000" w:themeColor="text1"/>
                <w:sz w:val="20"/>
                <w:szCs w:val="20"/>
              </w:rPr>
              <w:t>A</w:t>
            </w:r>
            <w:r>
              <w:rPr>
                <w:rFonts w:eastAsia="Calibri"/>
                <w:color w:val="000000" w:themeColor="text1"/>
                <w:sz w:val="20"/>
                <w:szCs w:val="20"/>
              </w:rPr>
              <w:t xml:space="preserve"> </w:t>
            </w:r>
            <w:r w:rsidRPr="00775AAD">
              <w:rPr>
                <w:rFonts w:eastAsia="Calibri"/>
                <w:color w:val="000000" w:themeColor="text1"/>
                <w:sz w:val="20"/>
                <w:szCs w:val="20"/>
              </w:rPr>
              <w:t>(High Quality)</w:t>
            </w:r>
          </w:p>
        </w:tc>
        <w:tc>
          <w:tcPr>
            <w:tcW w:w="1062" w:type="pct"/>
          </w:tcPr>
          <w:p w14:paraId="2AC23577" w14:textId="56720ABF"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Forty-six trials (</w:t>
            </w:r>
            <w:r w:rsidRPr="00775AAD">
              <w:rPr>
                <w:rFonts w:ascii="Times New Roman" w:hAnsi="Times New Roman" w:cs="Times New Roman"/>
                <w:i/>
                <w:iCs/>
                <w:sz w:val="20"/>
                <w:szCs w:val="20"/>
              </w:rPr>
              <w:t>n</w:t>
            </w:r>
            <w:r w:rsidRPr="00775AAD">
              <w:rPr>
                <w:rFonts w:ascii="Times New Roman" w:hAnsi="Times New Roman" w:cs="Times New Roman"/>
                <w:sz w:val="20"/>
                <w:szCs w:val="20"/>
              </w:rPr>
              <w:t xml:space="preserve"> = 24,324) were included. Pooled estimate indicates an increase in the probability of adherence to antidepressants at 6 months with the different types of interventions (OR 1.33; 95% CI: 1.09 to 1.62). The improvement in adherence is observed </w:t>
            </w:r>
            <w:r w:rsidR="0076635F" w:rsidRPr="00775AAD">
              <w:rPr>
                <w:rFonts w:ascii="Times New Roman" w:hAnsi="Times New Roman" w:cs="Times New Roman"/>
                <w:sz w:val="20"/>
                <w:szCs w:val="20"/>
              </w:rPr>
              <w:t>in</w:t>
            </w:r>
            <w:r w:rsidRPr="00775AAD">
              <w:rPr>
                <w:rFonts w:ascii="Times New Roman" w:hAnsi="Times New Roman" w:cs="Times New Roman"/>
                <w:sz w:val="20"/>
                <w:szCs w:val="20"/>
              </w:rPr>
              <w:t xml:space="preserve"> 3 months (OR 1.62, 95% CI: 1.25 to 2.10), but it is attenuated at 12 months (OR 1.25, 95% CI: 1.02 to 1.53). </w:t>
            </w:r>
            <w:r w:rsidRPr="00775AAD">
              <w:rPr>
                <w:rFonts w:ascii="Times New Roman" w:hAnsi="Times New Roman" w:cs="Times New Roman"/>
                <w:sz w:val="20"/>
                <w:szCs w:val="20"/>
              </w:rPr>
              <w:lastRenderedPageBreak/>
              <w:t xml:space="preserve">Selected articles show methodological differences. </w:t>
            </w:r>
          </w:p>
        </w:tc>
        <w:tc>
          <w:tcPr>
            <w:tcW w:w="983" w:type="pct"/>
          </w:tcPr>
          <w:p w14:paraId="7789E0C8" w14:textId="77777777" w:rsidR="00EC3ABE" w:rsidRPr="00775AAD" w:rsidRDefault="00EC3ABE" w:rsidP="00EC3ABE">
            <w:pPr>
              <w:spacing w:after="200"/>
              <w:rPr>
                <w:sz w:val="20"/>
                <w:szCs w:val="20"/>
              </w:rPr>
            </w:pPr>
            <w:r w:rsidRPr="00775AAD">
              <w:rPr>
                <w:sz w:val="20"/>
                <w:szCs w:val="20"/>
              </w:rPr>
              <w:lastRenderedPageBreak/>
              <w:t>Our findings indicate that interventions aimed at improving adherence to medication among adults with depressive disorders are effective up to six months. However, the evidence on the effectiveness of long-term adherence is insufficient, underscoring the need for further research.</w:t>
            </w:r>
          </w:p>
        </w:tc>
        <w:tc>
          <w:tcPr>
            <w:tcW w:w="921" w:type="pct"/>
          </w:tcPr>
          <w:p w14:paraId="7F814E97"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 xml:space="preserve">The evidence shows that collaborative care is effective in improving adherence. In this respect, a multi-professional approach to patient care was more effective than primary or mental healthcare teams. </w:t>
            </w:r>
          </w:p>
        </w:tc>
        <w:tc>
          <w:tcPr>
            <w:tcW w:w="851" w:type="pct"/>
          </w:tcPr>
          <w:p w14:paraId="1EB0F377"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Quantitative meta-analysis</w:t>
            </w:r>
          </w:p>
        </w:tc>
      </w:tr>
      <w:tr w:rsidR="00EC3ABE" w:rsidRPr="00775AAD" w14:paraId="545D39C6" w14:textId="77777777" w:rsidTr="00EC3ABE">
        <w:trPr>
          <w:trHeight w:val="1011"/>
        </w:trPr>
        <w:tc>
          <w:tcPr>
            <w:tcW w:w="625" w:type="pct"/>
          </w:tcPr>
          <w:p w14:paraId="072C9FC6" w14:textId="77777777" w:rsidR="00EC3ABE" w:rsidRPr="00775AAD" w:rsidRDefault="00EC3ABE" w:rsidP="00EC3ABE">
            <w:pPr>
              <w:spacing w:after="200"/>
              <w:ind w:hanging="2"/>
              <w:rPr>
                <w:sz w:val="20"/>
                <w:szCs w:val="20"/>
              </w:rPr>
            </w:pPr>
            <w:r w:rsidRPr="00775AAD">
              <w:rPr>
                <w:sz w:val="20"/>
                <w:szCs w:val="20"/>
              </w:rPr>
              <w:t>Gunter, Z., Lawson, N., &amp; Bondarenka, C. (2022).</w:t>
            </w:r>
          </w:p>
        </w:tc>
        <w:tc>
          <w:tcPr>
            <w:tcW w:w="557" w:type="pct"/>
          </w:tcPr>
          <w:p w14:paraId="55FA270D" w14:textId="2AA460E8"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Level II</w:t>
            </w:r>
            <w:r>
              <w:rPr>
                <w:rFonts w:eastAsia="Calibri"/>
                <w:color w:val="000000" w:themeColor="text1"/>
                <w:sz w:val="20"/>
                <w:szCs w:val="20"/>
              </w:rPr>
              <w:t>I</w:t>
            </w:r>
          </w:p>
          <w:p w14:paraId="77249446" w14:textId="565335A8"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Quality</w:t>
            </w:r>
            <w:r>
              <w:rPr>
                <w:rFonts w:eastAsia="Calibri"/>
                <w:color w:val="000000" w:themeColor="text1"/>
                <w:sz w:val="20"/>
                <w:szCs w:val="20"/>
              </w:rPr>
              <w:t xml:space="preserve"> </w:t>
            </w:r>
            <w:r w:rsidRPr="00775AAD">
              <w:rPr>
                <w:rFonts w:eastAsia="Calibri"/>
                <w:color w:val="000000" w:themeColor="text1"/>
                <w:sz w:val="20"/>
                <w:szCs w:val="20"/>
              </w:rPr>
              <w:t>A</w:t>
            </w:r>
            <w:r>
              <w:rPr>
                <w:rFonts w:eastAsia="Calibri"/>
                <w:color w:val="000000" w:themeColor="text1"/>
                <w:sz w:val="20"/>
                <w:szCs w:val="20"/>
              </w:rPr>
              <w:t xml:space="preserve"> </w:t>
            </w:r>
            <w:r w:rsidRPr="00775AAD">
              <w:rPr>
                <w:rFonts w:eastAsia="Calibri"/>
                <w:color w:val="000000" w:themeColor="text1"/>
                <w:sz w:val="20"/>
                <w:szCs w:val="20"/>
              </w:rPr>
              <w:t>(High Quality)</w:t>
            </w:r>
          </w:p>
        </w:tc>
        <w:tc>
          <w:tcPr>
            <w:tcW w:w="1062" w:type="pct"/>
          </w:tcPr>
          <w:p w14:paraId="5159466D"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The primary objective of this study was to evaluate the impact of dose-tracking software on the number of inpatient pharmacies that redispensed medications and the frequency of nursing requests for missing medications. Secondary objectives included pharmacy staff satisfaction with dose-tracking software, its impact on workflow and patient safety, and compliance with dose-track scanning.</w:t>
            </w:r>
          </w:p>
        </w:tc>
        <w:tc>
          <w:tcPr>
            <w:tcW w:w="983" w:type="pct"/>
          </w:tcPr>
          <w:p w14:paraId="68EFAD52" w14:textId="77777777" w:rsidR="00EC3ABE" w:rsidRPr="00775AAD" w:rsidRDefault="00EC3ABE" w:rsidP="00EC3ABE">
            <w:pPr>
              <w:spacing w:after="200"/>
              <w:rPr>
                <w:sz w:val="20"/>
                <w:szCs w:val="20"/>
              </w:rPr>
            </w:pPr>
            <w:r w:rsidRPr="00775AAD">
              <w:rPr>
                <w:sz w:val="20"/>
                <w:szCs w:val="20"/>
              </w:rPr>
              <w:t> During the pre-implementation period, 40,021 injectable doses were dispensed, of which 9,841 (24.6%) were documented as redispensed. Following the implementation of dose tracking, a total of 42,975 injectable doses were dispensed, of which 9,839 (22.9%) were redispensed. .</w:t>
            </w:r>
          </w:p>
        </w:tc>
        <w:tc>
          <w:tcPr>
            <w:tcW w:w="921" w:type="pct"/>
          </w:tcPr>
          <w:p w14:paraId="4DD907F1"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The implementation of dose-tracking software decreased the percentage of redispensed injectable medications.</w:t>
            </w:r>
          </w:p>
        </w:tc>
        <w:tc>
          <w:tcPr>
            <w:tcW w:w="851" w:type="pct"/>
          </w:tcPr>
          <w:p w14:paraId="1A128AA2" w14:textId="77777777" w:rsidR="00EC3ABE" w:rsidRPr="00775AAD" w:rsidRDefault="00EC3ABE" w:rsidP="00EC3ABE">
            <w:pPr>
              <w:pStyle w:val="p1"/>
              <w:spacing w:after="200" w:line="240" w:lineRule="auto"/>
              <w:rPr>
                <w:rFonts w:ascii="Times New Roman" w:hAnsi="Times New Roman" w:cs="Times New Roman"/>
                <w:sz w:val="20"/>
                <w:szCs w:val="20"/>
              </w:rPr>
            </w:pPr>
          </w:p>
        </w:tc>
      </w:tr>
      <w:tr w:rsidR="00EC3ABE" w:rsidRPr="00775AAD" w14:paraId="646B48C7" w14:textId="77777777" w:rsidTr="00EC3ABE">
        <w:trPr>
          <w:trHeight w:val="1011"/>
        </w:trPr>
        <w:tc>
          <w:tcPr>
            <w:tcW w:w="625" w:type="pct"/>
          </w:tcPr>
          <w:p w14:paraId="177E415D" w14:textId="77777777" w:rsidR="00EC3ABE" w:rsidRPr="00775AAD" w:rsidRDefault="00EC3ABE" w:rsidP="00EC3ABE">
            <w:pPr>
              <w:spacing w:after="200"/>
              <w:ind w:hanging="2"/>
              <w:rPr>
                <w:sz w:val="20"/>
                <w:szCs w:val="20"/>
              </w:rPr>
            </w:pPr>
            <w:r w:rsidRPr="00775AAD">
              <w:rPr>
                <w:sz w:val="20"/>
                <w:szCs w:val="20"/>
              </w:rPr>
              <w:t>Hamad, M. M. E., &amp; Bah, S. (2022).</w:t>
            </w:r>
          </w:p>
        </w:tc>
        <w:tc>
          <w:tcPr>
            <w:tcW w:w="557" w:type="pct"/>
          </w:tcPr>
          <w:p w14:paraId="619E5DDB" w14:textId="77777777"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Level III</w:t>
            </w:r>
          </w:p>
          <w:p w14:paraId="12719501" w14:textId="5D0E4448"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Quality</w:t>
            </w:r>
            <w:r>
              <w:rPr>
                <w:rFonts w:eastAsia="Calibri"/>
                <w:color w:val="000000" w:themeColor="text1"/>
                <w:sz w:val="20"/>
                <w:szCs w:val="20"/>
              </w:rPr>
              <w:t xml:space="preserve"> </w:t>
            </w:r>
            <w:r w:rsidRPr="00775AAD">
              <w:rPr>
                <w:rFonts w:eastAsia="Calibri"/>
                <w:color w:val="000000" w:themeColor="text1"/>
                <w:sz w:val="20"/>
                <w:szCs w:val="20"/>
              </w:rPr>
              <w:t>A/B</w:t>
            </w:r>
            <w:r>
              <w:rPr>
                <w:rFonts w:eastAsia="Calibri"/>
                <w:color w:val="000000" w:themeColor="text1"/>
                <w:sz w:val="20"/>
                <w:szCs w:val="20"/>
              </w:rPr>
              <w:t xml:space="preserve"> </w:t>
            </w:r>
            <w:r w:rsidRPr="00775AAD">
              <w:rPr>
                <w:rFonts w:eastAsia="Calibri"/>
                <w:color w:val="000000" w:themeColor="text1"/>
                <w:sz w:val="20"/>
                <w:szCs w:val="20"/>
              </w:rPr>
              <w:t>(High/Good)</w:t>
            </w:r>
          </w:p>
        </w:tc>
        <w:tc>
          <w:tcPr>
            <w:tcW w:w="1062" w:type="pct"/>
          </w:tcPr>
          <w:p w14:paraId="2A6E0927"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To examine the effect of adopting EHRs on medication errors at the Royal Commission Hospital in Jubail, Saudi Arabia, a Health Information Management System Society (HIMSS) stage 6 hospital.</w:t>
            </w:r>
          </w:p>
        </w:tc>
        <w:tc>
          <w:tcPr>
            <w:tcW w:w="983" w:type="pct"/>
          </w:tcPr>
          <w:p w14:paraId="5A61E313" w14:textId="77777777" w:rsidR="00EC3ABE" w:rsidRPr="00775AAD" w:rsidRDefault="00EC3ABE" w:rsidP="00EC3ABE">
            <w:pPr>
              <w:spacing w:after="200"/>
              <w:rPr>
                <w:sz w:val="20"/>
                <w:szCs w:val="20"/>
              </w:rPr>
            </w:pPr>
            <w:r w:rsidRPr="00775AAD">
              <w:rPr>
                <w:sz w:val="20"/>
                <w:szCs w:val="20"/>
              </w:rPr>
              <w:t>The median number of medication orders per patient decreased significantly, from 22.76 before EHR implementation to 18.76 after implementation (</w:t>
            </w:r>
            <w:r w:rsidRPr="00775AAD">
              <w:rPr>
                <w:i/>
                <w:iCs/>
                <w:sz w:val="20"/>
                <w:szCs w:val="20"/>
              </w:rPr>
              <w:t>p</w:t>
            </w:r>
            <w:r w:rsidRPr="00775AAD">
              <w:rPr>
                <w:sz w:val="20"/>
                <w:szCs w:val="20"/>
              </w:rPr>
              <w:t> &lt; 0.001). The median number of incidents per patient increased significantly from 0.029 before to 0.040 after implementation (</w:t>
            </w:r>
            <w:r w:rsidRPr="00775AAD">
              <w:rPr>
                <w:i/>
                <w:iCs/>
                <w:sz w:val="20"/>
                <w:szCs w:val="20"/>
              </w:rPr>
              <w:t>p</w:t>
            </w:r>
            <w:r w:rsidRPr="00775AAD">
              <w:rPr>
                <w:sz w:val="20"/>
                <w:szCs w:val="20"/>
              </w:rPr>
              <w:t xml:space="preserve"> = 0.004). The qualitative </w:t>
            </w:r>
            <w:r w:rsidRPr="00775AAD">
              <w:rPr>
                <w:sz w:val="20"/>
                <w:szCs w:val="20"/>
              </w:rPr>
              <w:lastRenderedPageBreak/>
              <w:t>analysis of the processes involved in medication management helped explain these changes.</w:t>
            </w:r>
          </w:p>
        </w:tc>
        <w:tc>
          <w:tcPr>
            <w:tcW w:w="921" w:type="pct"/>
          </w:tcPr>
          <w:p w14:paraId="78513BCC"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lastRenderedPageBreak/>
              <w:t xml:space="preserve">Contrary to expectations, this study found that an HIMSS Stage 6 hospital could experience an increase in medication errors after implementing EHRs. Qualitative analysis revealed that the increase in medication error reporting rates could be attributed to improved detection following enhancements </w:t>
            </w:r>
            <w:r w:rsidRPr="00775AAD">
              <w:rPr>
                <w:rFonts w:ascii="Times New Roman" w:hAnsi="Times New Roman" w:cs="Times New Roman"/>
                <w:sz w:val="20"/>
                <w:szCs w:val="20"/>
              </w:rPr>
              <w:lastRenderedPageBreak/>
              <w:t>to the medication management process.</w:t>
            </w:r>
          </w:p>
        </w:tc>
        <w:tc>
          <w:tcPr>
            <w:tcW w:w="851" w:type="pct"/>
          </w:tcPr>
          <w:p w14:paraId="5F6FF087"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lastRenderedPageBreak/>
              <w:t xml:space="preserve">One of the main limitations of this study was the manual documentation of pharmacist interventions before EHR implementation; as such, data were not available for comparison with interventions after EHR implementation (which </w:t>
            </w:r>
            <w:r w:rsidRPr="00775AAD">
              <w:rPr>
                <w:rFonts w:ascii="Times New Roman" w:hAnsi="Times New Roman" w:cs="Times New Roman"/>
                <w:sz w:val="20"/>
                <w:szCs w:val="20"/>
              </w:rPr>
              <w:lastRenderedPageBreak/>
              <w:t xml:space="preserve">were recorded in the system). </w:t>
            </w:r>
          </w:p>
        </w:tc>
      </w:tr>
      <w:tr w:rsidR="00EC3ABE" w:rsidRPr="00775AAD" w14:paraId="63859545" w14:textId="77777777" w:rsidTr="00EC3ABE">
        <w:trPr>
          <w:trHeight w:val="1011"/>
        </w:trPr>
        <w:tc>
          <w:tcPr>
            <w:tcW w:w="625" w:type="pct"/>
          </w:tcPr>
          <w:p w14:paraId="02D3DD0D" w14:textId="77777777" w:rsidR="00EC3ABE" w:rsidRPr="00775AAD" w:rsidRDefault="00EC3ABE" w:rsidP="00EC3ABE">
            <w:pPr>
              <w:spacing w:after="200"/>
              <w:ind w:hanging="2"/>
              <w:rPr>
                <w:sz w:val="20"/>
                <w:szCs w:val="20"/>
              </w:rPr>
            </w:pPr>
            <w:r w:rsidRPr="00775AAD">
              <w:rPr>
                <w:sz w:val="20"/>
                <w:szCs w:val="20"/>
              </w:rPr>
              <w:lastRenderedPageBreak/>
              <w:t>Herrick, C. J., Humble, S., Hollar, L., Chang, S. H., Hunleth, J., McQueen, A., &amp; James, A. S. (2021).</w:t>
            </w:r>
          </w:p>
        </w:tc>
        <w:tc>
          <w:tcPr>
            <w:tcW w:w="557" w:type="pct"/>
          </w:tcPr>
          <w:p w14:paraId="14D3FEA3" w14:textId="7F266803"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Level II</w:t>
            </w:r>
            <w:r>
              <w:rPr>
                <w:rFonts w:eastAsia="Calibri"/>
                <w:color w:val="000000" w:themeColor="text1"/>
                <w:sz w:val="20"/>
                <w:szCs w:val="20"/>
              </w:rPr>
              <w:t>I</w:t>
            </w:r>
          </w:p>
          <w:p w14:paraId="0714C1AB" w14:textId="5F8AF629"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Quality</w:t>
            </w:r>
            <w:r>
              <w:rPr>
                <w:rFonts w:eastAsia="Calibri"/>
                <w:color w:val="000000" w:themeColor="text1"/>
                <w:sz w:val="20"/>
                <w:szCs w:val="20"/>
              </w:rPr>
              <w:t xml:space="preserve"> </w:t>
            </w:r>
            <w:r w:rsidRPr="00775AAD">
              <w:rPr>
                <w:rFonts w:eastAsia="Calibri"/>
                <w:color w:val="000000" w:themeColor="text1"/>
                <w:sz w:val="20"/>
                <w:szCs w:val="20"/>
              </w:rPr>
              <w:t>A</w:t>
            </w:r>
            <w:r>
              <w:rPr>
                <w:rFonts w:eastAsia="Calibri"/>
                <w:color w:val="000000" w:themeColor="text1"/>
                <w:sz w:val="20"/>
                <w:szCs w:val="20"/>
              </w:rPr>
              <w:t xml:space="preserve"> </w:t>
            </w:r>
            <w:r w:rsidRPr="00775AAD">
              <w:rPr>
                <w:rFonts w:eastAsia="Calibri"/>
                <w:color w:val="000000" w:themeColor="text1"/>
                <w:sz w:val="20"/>
                <w:szCs w:val="20"/>
              </w:rPr>
              <w:t>(High)</w:t>
            </w:r>
          </w:p>
        </w:tc>
        <w:tc>
          <w:tcPr>
            <w:tcW w:w="1062" w:type="pct"/>
          </w:tcPr>
          <w:p w14:paraId="425666C8"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 We conducted bivariate comparisons of participants with and without self-reported diabetes using Student’s </w:t>
            </w:r>
            <w:r w:rsidRPr="00775AAD">
              <w:rPr>
                <w:rFonts w:ascii="Times New Roman" w:hAnsi="Times New Roman" w:cs="Times New Roman"/>
                <w:i/>
                <w:iCs/>
                <w:sz w:val="20"/>
                <w:szCs w:val="20"/>
              </w:rPr>
              <w:t>t-test</w:t>
            </w:r>
            <w:r w:rsidRPr="00775AAD">
              <w:rPr>
                <w:rFonts w:ascii="Times New Roman" w:hAnsi="Times New Roman" w:cs="Times New Roman"/>
                <w:sz w:val="20"/>
                <w:szCs w:val="20"/>
              </w:rPr>
              <w:t xml:space="preserve"> for continuous variables and chi-square or Fisher’s exact test for categorical variables</w:t>
            </w:r>
          </w:p>
        </w:tc>
        <w:tc>
          <w:tcPr>
            <w:tcW w:w="983" w:type="pct"/>
          </w:tcPr>
          <w:p w14:paraId="07B1E033" w14:textId="77777777" w:rsidR="00EC3ABE" w:rsidRPr="00775AAD" w:rsidRDefault="00EC3ABE" w:rsidP="00EC3ABE">
            <w:pPr>
              <w:spacing w:after="200"/>
              <w:rPr>
                <w:sz w:val="20"/>
                <w:szCs w:val="20"/>
              </w:rPr>
            </w:pPr>
            <w:r w:rsidRPr="00775AAD">
              <w:rPr>
                <w:sz w:val="20"/>
                <w:szCs w:val="20"/>
              </w:rPr>
              <w:t xml:space="preserve">Patients with chronic conditions, particularly diabetes mellitus, are at high risk for cost-related medication non-adherence. Cost-coping behaviors, including cutting back on basic needs, skipping doses of medication, or asking for samples, have been documented among patients with chronic diseases. </w:t>
            </w:r>
          </w:p>
        </w:tc>
        <w:tc>
          <w:tcPr>
            <w:tcW w:w="921" w:type="pct"/>
          </w:tcPr>
          <w:p w14:paraId="4DF2BA53"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Quantitative correlational</w:t>
            </w:r>
          </w:p>
        </w:tc>
        <w:tc>
          <w:tcPr>
            <w:tcW w:w="851" w:type="pct"/>
          </w:tcPr>
          <w:p w14:paraId="73E2EC06"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Cost conversations are important and acceptable within the clinical encounter and must address both basic needs and medication. Future studies should elucidate the trade-offs among food, medical supplies, and medications for individuals with diabetes and assess the acceptability and impact of novel methods to address cost coping.</w:t>
            </w:r>
          </w:p>
        </w:tc>
      </w:tr>
      <w:tr w:rsidR="00EC3ABE" w:rsidRPr="00775AAD" w14:paraId="33AC1308" w14:textId="77777777" w:rsidTr="00EC3ABE">
        <w:trPr>
          <w:trHeight w:val="1011"/>
        </w:trPr>
        <w:tc>
          <w:tcPr>
            <w:tcW w:w="625" w:type="pct"/>
          </w:tcPr>
          <w:p w14:paraId="16BC51E9" w14:textId="77777777" w:rsidR="00EC3ABE" w:rsidRPr="00775AAD" w:rsidRDefault="00EC3ABE" w:rsidP="00EC3ABE">
            <w:pPr>
              <w:spacing w:after="200"/>
              <w:ind w:hanging="2"/>
              <w:rPr>
                <w:sz w:val="20"/>
                <w:szCs w:val="20"/>
              </w:rPr>
            </w:pPr>
            <w:r w:rsidRPr="00775AAD">
              <w:rPr>
                <w:sz w:val="20"/>
                <w:szCs w:val="20"/>
              </w:rPr>
              <w:t>Imeri, H., Toth, J., Arnold, A., &amp; Barnard, M. (2022).</w:t>
            </w:r>
          </w:p>
        </w:tc>
        <w:tc>
          <w:tcPr>
            <w:tcW w:w="557" w:type="pct"/>
          </w:tcPr>
          <w:p w14:paraId="519F02F4" w14:textId="77777777"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Level III</w:t>
            </w:r>
          </w:p>
          <w:p w14:paraId="6607851A" w14:textId="7B30F02C"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Quality</w:t>
            </w:r>
            <w:r>
              <w:rPr>
                <w:rFonts w:eastAsia="Calibri"/>
                <w:color w:val="000000" w:themeColor="text1"/>
                <w:sz w:val="20"/>
                <w:szCs w:val="20"/>
              </w:rPr>
              <w:t xml:space="preserve"> </w:t>
            </w:r>
            <w:r w:rsidRPr="00775AAD">
              <w:rPr>
                <w:rFonts w:eastAsia="Calibri"/>
                <w:color w:val="000000" w:themeColor="text1"/>
                <w:sz w:val="20"/>
                <w:szCs w:val="20"/>
              </w:rPr>
              <w:t>A/B</w:t>
            </w:r>
            <w:r>
              <w:rPr>
                <w:rFonts w:eastAsia="Calibri"/>
                <w:color w:val="000000" w:themeColor="text1"/>
                <w:sz w:val="20"/>
                <w:szCs w:val="20"/>
              </w:rPr>
              <w:t xml:space="preserve"> </w:t>
            </w:r>
            <w:r w:rsidRPr="00775AAD">
              <w:rPr>
                <w:rFonts w:eastAsia="Calibri"/>
                <w:color w:val="000000" w:themeColor="text1"/>
                <w:sz w:val="20"/>
                <w:szCs w:val="20"/>
              </w:rPr>
              <w:t>(High Quality)</w:t>
            </w:r>
          </w:p>
        </w:tc>
        <w:tc>
          <w:tcPr>
            <w:tcW w:w="1062" w:type="pct"/>
          </w:tcPr>
          <w:p w14:paraId="498A28C9"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The Downs and Black checklist</w:t>
            </w:r>
          </w:p>
        </w:tc>
        <w:tc>
          <w:tcPr>
            <w:tcW w:w="983" w:type="pct"/>
          </w:tcPr>
          <w:p w14:paraId="544B87E7" w14:textId="77777777" w:rsidR="00EC3ABE" w:rsidRPr="00775AAD" w:rsidRDefault="00EC3ABE" w:rsidP="00EC3ABE">
            <w:pPr>
              <w:spacing w:after="200"/>
              <w:rPr>
                <w:sz w:val="20"/>
                <w:szCs w:val="20"/>
              </w:rPr>
            </w:pPr>
            <w:r w:rsidRPr="00775AAD">
              <w:rPr>
                <w:sz w:val="20"/>
                <w:szCs w:val="20"/>
              </w:rPr>
              <w:t>The objective of this systematic review was to determine the utilization of the TTM to predict or improve medication adherence in patients with chronic conditions.</w:t>
            </w:r>
          </w:p>
        </w:tc>
        <w:tc>
          <w:tcPr>
            <w:tcW w:w="921" w:type="pct"/>
          </w:tcPr>
          <w:p w14:paraId="70A97D6F"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The Downs and Black checklist</w:t>
            </w:r>
          </w:p>
        </w:tc>
        <w:tc>
          <w:tcPr>
            <w:tcW w:w="851" w:type="pct"/>
          </w:tcPr>
          <w:p w14:paraId="313E0755"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 xml:space="preserve">TTM can be a useful basis for interventions, as it supports tailoring by identifying patients' current stage in the process of making a health behavior decision and providing guidance on which specific processes of </w:t>
            </w:r>
            <w:r w:rsidRPr="00775AAD">
              <w:rPr>
                <w:rFonts w:ascii="Times New Roman" w:hAnsi="Times New Roman" w:cs="Times New Roman"/>
                <w:sz w:val="20"/>
                <w:szCs w:val="20"/>
              </w:rPr>
              <w:lastRenderedPageBreak/>
              <w:t xml:space="preserve">change can help the patient move through the stages to adopt the health behavior. </w:t>
            </w:r>
          </w:p>
        </w:tc>
      </w:tr>
      <w:tr w:rsidR="00EC3ABE" w:rsidRPr="00775AAD" w14:paraId="6326DBF0" w14:textId="77777777" w:rsidTr="00EC3ABE">
        <w:trPr>
          <w:trHeight w:val="1011"/>
        </w:trPr>
        <w:tc>
          <w:tcPr>
            <w:tcW w:w="625" w:type="pct"/>
          </w:tcPr>
          <w:p w14:paraId="6B62FADC" w14:textId="77777777" w:rsidR="00EC3ABE" w:rsidRPr="00775AAD" w:rsidRDefault="00EC3ABE" w:rsidP="00EC3ABE">
            <w:pPr>
              <w:spacing w:after="200"/>
              <w:ind w:hanging="2"/>
              <w:rPr>
                <w:sz w:val="20"/>
                <w:szCs w:val="20"/>
              </w:rPr>
            </w:pPr>
            <w:r w:rsidRPr="00775AAD">
              <w:rPr>
                <w:sz w:val="20"/>
                <w:szCs w:val="20"/>
              </w:rPr>
              <w:lastRenderedPageBreak/>
              <w:t xml:space="preserve">Insani, W. N., Zakiyah, N., Puspitasari, I. M., Permana, M. Y., Parmikanti, K., Rusyaman, E., &amp; Suwantika, A. A. (2025). </w:t>
            </w:r>
          </w:p>
        </w:tc>
        <w:tc>
          <w:tcPr>
            <w:tcW w:w="557" w:type="pct"/>
          </w:tcPr>
          <w:p w14:paraId="4F3ECBC6" w14:textId="7F714315" w:rsidR="00EC3ABE" w:rsidRPr="00775AAD" w:rsidRDefault="00EC3ABE" w:rsidP="00EC3ABE">
            <w:pPr>
              <w:spacing w:after="200"/>
              <w:rPr>
                <w:sz w:val="20"/>
                <w:szCs w:val="20"/>
              </w:rPr>
            </w:pPr>
            <w:r w:rsidRPr="00775AAD">
              <w:rPr>
                <w:sz w:val="20"/>
                <w:szCs w:val="20"/>
              </w:rPr>
              <w:t>Level II</w:t>
            </w:r>
            <w:r>
              <w:rPr>
                <w:sz w:val="20"/>
                <w:szCs w:val="20"/>
              </w:rPr>
              <w:t>I</w:t>
            </w:r>
          </w:p>
          <w:p w14:paraId="7F090524" w14:textId="37D8FBB4" w:rsidR="00EC3ABE" w:rsidRPr="00775AAD" w:rsidRDefault="00EC3ABE" w:rsidP="00EC3ABE">
            <w:pPr>
              <w:spacing w:after="200"/>
              <w:rPr>
                <w:rFonts w:eastAsia="Calibri"/>
                <w:color w:val="000000" w:themeColor="text1"/>
                <w:sz w:val="20"/>
                <w:szCs w:val="20"/>
              </w:rPr>
            </w:pPr>
            <w:r w:rsidRPr="00775AAD">
              <w:rPr>
                <w:sz w:val="20"/>
                <w:szCs w:val="20"/>
              </w:rPr>
              <w:t>Quality</w:t>
            </w:r>
            <w:r>
              <w:rPr>
                <w:sz w:val="20"/>
                <w:szCs w:val="20"/>
              </w:rPr>
              <w:t xml:space="preserve"> </w:t>
            </w:r>
            <w:r w:rsidRPr="00775AAD">
              <w:rPr>
                <w:sz w:val="20"/>
                <w:szCs w:val="20"/>
              </w:rPr>
              <w:t>A</w:t>
            </w:r>
            <w:r>
              <w:rPr>
                <w:sz w:val="20"/>
                <w:szCs w:val="20"/>
              </w:rPr>
              <w:t xml:space="preserve"> </w:t>
            </w:r>
            <w:r w:rsidRPr="00775AAD">
              <w:rPr>
                <w:sz w:val="20"/>
                <w:szCs w:val="20"/>
              </w:rPr>
              <w:t>(High)</w:t>
            </w:r>
          </w:p>
        </w:tc>
        <w:tc>
          <w:tcPr>
            <w:tcW w:w="1062" w:type="pct"/>
          </w:tcPr>
          <w:p w14:paraId="18172BF1"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This study aimed to systematically review the economic impact of DHT interventions on medication safety and to examine methodological challenges, thereby informing future research directions.</w:t>
            </w:r>
          </w:p>
        </w:tc>
        <w:tc>
          <w:tcPr>
            <w:tcW w:w="983" w:type="pct"/>
          </w:tcPr>
          <w:p w14:paraId="4BFD8BC0" w14:textId="77777777" w:rsidR="00EC3ABE" w:rsidRPr="00775AAD" w:rsidRDefault="00EC3ABE" w:rsidP="00EC3ABE">
            <w:pPr>
              <w:spacing w:after="200"/>
              <w:rPr>
                <w:sz w:val="20"/>
                <w:szCs w:val="20"/>
              </w:rPr>
            </w:pPr>
            <w:r w:rsidRPr="00775AAD">
              <w:rPr>
                <w:sz w:val="20"/>
                <w:szCs w:val="20"/>
              </w:rPr>
              <w:t xml:space="preserve">The objective of this project was to identify risk factors for non-adherence in rheumatology, oncology, and cardiology, and to examine potential interventions to improve adherence and their association with these risk factors. </w:t>
            </w:r>
          </w:p>
        </w:tc>
        <w:tc>
          <w:tcPr>
            <w:tcW w:w="921" w:type="pct"/>
          </w:tcPr>
          <w:p w14:paraId="58E71E5D"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We adopted the Panel on Cost-Effectiveness in Health and Medicine's recommendations for data extraction. A narrative analysis was conducted to synthesize clinical and economic outcomes. The quality of reporting for the included studies was assessed using the CHEERS (Consolidated Health Economic Evaluation Reporting Standards) guidelines.</w:t>
            </w:r>
          </w:p>
        </w:tc>
        <w:tc>
          <w:tcPr>
            <w:tcW w:w="851" w:type="pct"/>
          </w:tcPr>
          <w:p w14:paraId="3584B8EB"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Although no individual intervention has been identified with significant confidence in improving adherence in general, it is possible to design maps that interrelate risk factors and interventions, or multifaceted interventions.</w:t>
            </w:r>
          </w:p>
          <w:p w14:paraId="3FB6CEC3" w14:textId="77777777" w:rsidR="00EC3ABE" w:rsidRPr="00775AAD" w:rsidRDefault="00EC3ABE" w:rsidP="00EC3ABE">
            <w:pPr>
              <w:pStyle w:val="p1"/>
              <w:spacing w:after="200" w:line="240" w:lineRule="auto"/>
              <w:rPr>
                <w:rFonts w:ascii="Times New Roman" w:hAnsi="Times New Roman" w:cs="Times New Roman"/>
                <w:sz w:val="20"/>
                <w:szCs w:val="20"/>
              </w:rPr>
            </w:pPr>
          </w:p>
        </w:tc>
      </w:tr>
      <w:tr w:rsidR="00EC3ABE" w:rsidRPr="00775AAD" w14:paraId="414ED5EF" w14:textId="77777777" w:rsidTr="00EC3ABE">
        <w:trPr>
          <w:trHeight w:val="728"/>
        </w:trPr>
        <w:tc>
          <w:tcPr>
            <w:tcW w:w="625" w:type="pct"/>
          </w:tcPr>
          <w:p w14:paraId="64D082DE" w14:textId="77777777" w:rsidR="00EC3ABE" w:rsidRPr="008F02C4" w:rsidRDefault="00EC3ABE" w:rsidP="00EC3ABE">
            <w:pPr>
              <w:spacing w:after="200"/>
              <w:ind w:hanging="2"/>
              <w:rPr>
                <w:sz w:val="20"/>
                <w:szCs w:val="20"/>
                <w:lang w:val="es-ES"/>
              </w:rPr>
            </w:pPr>
            <w:r w:rsidRPr="008F02C4">
              <w:rPr>
                <w:sz w:val="20"/>
                <w:szCs w:val="20"/>
                <w:lang w:val="es-ES"/>
              </w:rPr>
              <w:t>Jansen, E. M., van de Hei, S. J., Dierick, B. J., Kerstjens, H. A., Kocks, J. W., &amp; van Boven, J. F. (2021).</w:t>
            </w:r>
          </w:p>
        </w:tc>
        <w:tc>
          <w:tcPr>
            <w:tcW w:w="557" w:type="pct"/>
          </w:tcPr>
          <w:p w14:paraId="2E396214" w14:textId="7F155E55"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Level I</w:t>
            </w:r>
            <w:r>
              <w:rPr>
                <w:rFonts w:eastAsia="Calibri"/>
                <w:color w:val="000000" w:themeColor="text1"/>
                <w:sz w:val="20"/>
                <w:szCs w:val="20"/>
              </w:rPr>
              <w:t>II</w:t>
            </w:r>
          </w:p>
          <w:p w14:paraId="464B86FB" w14:textId="746B1C8B"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Quality</w:t>
            </w:r>
            <w:r>
              <w:rPr>
                <w:rFonts w:eastAsia="Calibri"/>
                <w:color w:val="000000" w:themeColor="text1"/>
                <w:sz w:val="20"/>
                <w:szCs w:val="20"/>
              </w:rPr>
              <w:t xml:space="preserve"> </w:t>
            </w:r>
            <w:r w:rsidRPr="00775AAD">
              <w:rPr>
                <w:rFonts w:eastAsia="Calibri"/>
                <w:color w:val="000000" w:themeColor="text1"/>
                <w:sz w:val="20"/>
                <w:szCs w:val="20"/>
              </w:rPr>
              <w:t>A</w:t>
            </w:r>
            <w:r>
              <w:rPr>
                <w:rFonts w:eastAsia="Calibri"/>
                <w:color w:val="000000" w:themeColor="text1"/>
                <w:sz w:val="20"/>
                <w:szCs w:val="20"/>
              </w:rPr>
              <w:t xml:space="preserve">/B </w:t>
            </w:r>
            <w:r w:rsidRPr="00775AAD">
              <w:rPr>
                <w:rFonts w:eastAsia="Calibri"/>
                <w:color w:val="000000" w:themeColor="text1"/>
                <w:sz w:val="20"/>
                <w:szCs w:val="20"/>
              </w:rPr>
              <w:t>(High Quality)</w:t>
            </w:r>
          </w:p>
        </w:tc>
        <w:tc>
          <w:tcPr>
            <w:tcW w:w="1062" w:type="pct"/>
          </w:tcPr>
          <w:p w14:paraId="5A8620D3"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 xml:space="preserve">Persistence with asthma/COPD therapy is most commonly measured by the frequency of medication refills. Yet, refill records do not differentiate between the end of a treatment period and the moment of discontinuation. Therefore, this method may overestimate the persistence rates. </w:t>
            </w:r>
            <w:r w:rsidRPr="00775AAD">
              <w:rPr>
                <w:rFonts w:ascii="Times New Roman" w:hAnsi="Times New Roman" w:cs="Times New Roman"/>
                <w:sz w:val="20"/>
                <w:szCs w:val="20"/>
              </w:rPr>
              <w:lastRenderedPageBreak/>
              <w:t>determining the true rates of adherence.</w:t>
            </w:r>
          </w:p>
        </w:tc>
        <w:tc>
          <w:tcPr>
            <w:tcW w:w="983" w:type="pct"/>
          </w:tcPr>
          <w:p w14:paraId="66A63017" w14:textId="77777777" w:rsidR="00EC3ABE" w:rsidRPr="00775AAD" w:rsidRDefault="00EC3ABE" w:rsidP="00EC3ABE">
            <w:pPr>
              <w:spacing w:after="200"/>
              <w:rPr>
                <w:sz w:val="20"/>
                <w:szCs w:val="20"/>
              </w:rPr>
            </w:pPr>
            <w:r w:rsidRPr="00775AAD">
              <w:rPr>
                <w:sz w:val="20"/>
                <w:szCs w:val="20"/>
              </w:rPr>
              <w:lastRenderedPageBreak/>
              <w:t>The aim of this review is to provide a narrative overview of the extent of medication non-adherence, its clinical and economic consequences, and potential solutions, with a focus on the recently developed smart inhalers.</w:t>
            </w:r>
          </w:p>
        </w:tc>
        <w:tc>
          <w:tcPr>
            <w:tcW w:w="921" w:type="pct"/>
          </w:tcPr>
          <w:p w14:paraId="108FE2B6"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PRISMA</w:t>
            </w:r>
          </w:p>
        </w:tc>
        <w:tc>
          <w:tcPr>
            <w:tcW w:w="851" w:type="pct"/>
          </w:tcPr>
          <w:p w14:paraId="7AF9195C"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 xml:space="preserve">Given the scarcity of evidence, future clinical trials are needed that include robust economic outcomes and cost-effectiveness analyses. </w:t>
            </w:r>
          </w:p>
        </w:tc>
      </w:tr>
      <w:tr w:rsidR="00EC3ABE" w:rsidRPr="00775AAD" w14:paraId="72E5F239" w14:textId="77777777" w:rsidTr="00EC3ABE">
        <w:trPr>
          <w:trHeight w:val="1011"/>
        </w:trPr>
        <w:tc>
          <w:tcPr>
            <w:tcW w:w="625" w:type="pct"/>
          </w:tcPr>
          <w:p w14:paraId="087200E1" w14:textId="77777777" w:rsidR="00EC3ABE" w:rsidRPr="00775AAD" w:rsidRDefault="00EC3ABE" w:rsidP="00EC3ABE">
            <w:pPr>
              <w:spacing w:after="200"/>
              <w:ind w:hanging="2"/>
              <w:rPr>
                <w:sz w:val="20"/>
                <w:szCs w:val="20"/>
              </w:rPr>
            </w:pPr>
            <w:r w:rsidRPr="00775AAD">
              <w:rPr>
                <w:sz w:val="20"/>
                <w:szCs w:val="20"/>
              </w:rPr>
              <w:t>Juba, O. O., Olumide, A. F., David, J. I., &amp; Adekunle, K. A. (2024).</w:t>
            </w:r>
          </w:p>
        </w:tc>
        <w:tc>
          <w:tcPr>
            <w:tcW w:w="557" w:type="pct"/>
          </w:tcPr>
          <w:p w14:paraId="18985D0E" w14:textId="77777777"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Level III</w:t>
            </w:r>
          </w:p>
          <w:p w14:paraId="67E81559" w14:textId="2823B3AB"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Quality</w:t>
            </w:r>
            <w:r>
              <w:rPr>
                <w:rFonts w:eastAsia="Calibri"/>
                <w:color w:val="000000" w:themeColor="text1"/>
                <w:sz w:val="20"/>
                <w:szCs w:val="20"/>
              </w:rPr>
              <w:t xml:space="preserve"> </w:t>
            </w:r>
            <w:r w:rsidRPr="00775AAD">
              <w:rPr>
                <w:rFonts w:eastAsia="Calibri"/>
                <w:color w:val="000000" w:themeColor="text1"/>
                <w:sz w:val="20"/>
                <w:szCs w:val="20"/>
              </w:rPr>
              <w:t>A/B</w:t>
            </w:r>
            <w:r>
              <w:rPr>
                <w:rFonts w:eastAsia="Calibri"/>
                <w:color w:val="000000" w:themeColor="text1"/>
                <w:sz w:val="20"/>
                <w:szCs w:val="20"/>
              </w:rPr>
              <w:t xml:space="preserve"> </w:t>
            </w:r>
            <w:r w:rsidRPr="00775AAD">
              <w:rPr>
                <w:rFonts w:eastAsia="Calibri"/>
                <w:color w:val="000000" w:themeColor="text1"/>
                <w:sz w:val="20"/>
                <w:szCs w:val="20"/>
              </w:rPr>
              <w:t>(High/Good)</w:t>
            </w:r>
          </w:p>
        </w:tc>
        <w:tc>
          <w:tcPr>
            <w:tcW w:w="1062" w:type="pct"/>
          </w:tcPr>
          <w:p w14:paraId="4D87F6DC"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shd w:val="clear" w:color="auto" w:fill="FFFFFF"/>
              </w:rPr>
              <w:t>This paper provides insights into the economic and social benefits of technology-enabled domiciliary care, drawing on a literature review and case studies.</w:t>
            </w:r>
          </w:p>
        </w:tc>
        <w:tc>
          <w:tcPr>
            <w:tcW w:w="983" w:type="pct"/>
          </w:tcPr>
          <w:p w14:paraId="7416359A" w14:textId="77777777" w:rsidR="00EC3ABE" w:rsidRPr="00775AAD" w:rsidRDefault="00EC3ABE" w:rsidP="00EC3ABE">
            <w:pPr>
              <w:spacing w:after="200"/>
              <w:rPr>
                <w:sz w:val="20"/>
                <w:szCs w:val="20"/>
              </w:rPr>
            </w:pPr>
            <w:r w:rsidRPr="00775AAD">
              <w:rPr>
                <w:sz w:val="20"/>
                <w:szCs w:val="20"/>
              </w:rPr>
              <w:t>This paper examines the use case and functionality of technology supporting domiciliary care for older people, from enhancing independent living capacity to reducing health system costs by improving the safety of both caregivers and older adults.</w:t>
            </w:r>
          </w:p>
        </w:tc>
        <w:tc>
          <w:tcPr>
            <w:tcW w:w="921" w:type="pct"/>
          </w:tcPr>
          <w:p w14:paraId="1313536D"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Qualitative systematic review</w:t>
            </w:r>
          </w:p>
        </w:tc>
        <w:tc>
          <w:tcPr>
            <w:tcW w:w="851" w:type="pct"/>
          </w:tcPr>
          <w:p w14:paraId="67744773"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This paper provides insights into the economic and social benefits of technology-enabled domiciliary care, drawing on a literature review and case studies.</w:t>
            </w:r>
          </w:p>
        </w:tc>
      </w:tr>
      <w:tr w:rsidR="00EC3ABE" w:rsidRPr="00775AAD" w14:paraId="6081ACE1" w14:textId="77777777" w:rsidTr="00EC3ABE">
        <w:trPr>
          <w:trHeight w:val="1011"/>
        </w:trPr>
        <w:tc>
          <w:tcPr>
            <w:tcW w:w="625" w:type="pct"/>
          </w:tcPr>
          <w:p w14:paraId="7A8A60AD" w14:textId="77777777" w:rsidR="00EC3ABE" w:rsidRPr="00775AAD" w:rsidRDefault="00EC3ABE" w:rsidP="00EC3ABE">
            <w:pPr>
              <w:spacing w:after="200"/>
              <w:ind w:hanging="2"/>
              <w:rPr>
                <w:sz w:val="20"/>
                <w:szCs w:val="20"/>
              </w:rPr>
            </w:pPr>
            <w:r w:rsidRPr="00775AAD">
              <w:rPr>
                <w:sz w:val="20"/>
                <w:szCs w:val="20"/>
              </w:rPr>
              <w:t>Kulkov, I., Ivanova-Gongne, M., Bertello, A., Makkonen, H., Kulkova, J., Rohrbeck, R., &amp; Ferraris, A. (2023).</w:t>
            </w:r>
          </w:p>
        </w:tc>
        <w:tc>
          <w:tcPr>
            <w:tcW w:w="557" w:type="pct"/>
          </w:tcPr>
          <w:p w14:paraId="29ABC350" w14:textId="77777777"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Level III</w:t>
            </w:r>
          </w:p>
          <w:p w14:paraId="3DF71463" w14:textId="10A4EAEA"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Quality</w:t>
            </w:r>
            <w:r>
              <w:rPr>
                <w:rFonts w:eastAsia="Calibri"/>
                <w:color w:val="000000" w:themeColor="text1"/>
                <w:sz w:val="20"/>
                <w:szCs w:val="20"/>
              </w:rPr>
              <w:t xml:space="preserve"> </w:t>
            </w:r>
            <w:r w:rsidRPr="00775AAD">
              <w:rPr>
                <w:rFonts w:eastAsia="Calibri"/>
                <w:color w:val="000000" w:themeColor="text1"/>
                <w:sz w:val="20"/>
                <w:szCs w:val="20"/>
              </w:rPr>
              <w:t>A/B</w:t>
            </w:r>
            <w:r>
              <w:rPr>
                <w:rFonts w:eastAsia="Calibri"/>
                <w:color w:val="000000" w:themeColor="text1"/>
                <w:sz w:val="20"/>
                <w:szCs w:val="20"/>
              </w:rPr>
              <w:t xml:space="preserve"> </w:t>
            </w:r>
            <w:r w:rsidRPr="00775AAD">
              <w:rPr>
                <w:rFonts w:eastAsia="Calibri"/>
                <w:color w:val="000000" w:themeColor="text1"/>
                <w:sz w:val="20"/>
                <w:szCs w:val="20"/>
              </w:rPr>
              <w:t>(High/Good)</w:t>
            </w:r>
          </w:p>
        </w:tc>
        <w:tc>
          <w:tcPr>
            <w:tcW w:w="1062" w:type="pct"/>
          </w:tcPr>
          <w:p w14:paraId="4AD5E38B" w14:textId="77777777" w:rsidR="00EC3ABE" w:rsidRPr="00775AAD" w:rsidRDefault="00EC3ABE" w:rsidP="00EC3ABE">
            <w:pPr>
              <w:pStyle w:val="p1"/>
              <w:spacing w:after="200" w:line="240" w:lineRule="auto"/>
              <w:rPr>
                <w:rFonts w:ascii="Times New Roman" w:hAnsi="Times New Roman" w:cs="Times New Roman"/>
                <w:sz w:val="20"/>
                <w:szCs w:val="20"/>
                <w:shd w:val="clear" w:color="auto" w:fill="FFFFFF"/>
              </w:rPr>
            </w:pPr>
            <w:r w:rsidRPr="00775AAD">
              <w:rPr>
                <w:rFonts w:ascii="Times New Roman" w:hAnsi="Times New Roman" w:cs="Times New Roman"/>
                <w:sz w:val="20"/>
                <w:szCs w:val="20"/>
              </w:rPr>
              <w:t>We conclude the article by outlining the practical implications at the micro-level (i.e., patient advocacy and technology-enabled engagement strategies), meso-level (i.e., digital health solutions and motivation for collaboration), and macro-level (i.e., trust-building and infrastructure development).</w:t>
            </w:r>
          </w:p>
        </w:tc>
        <w:tc>
          <w:tcPr>
            <w:tcW w:w="983" w:type="pct"/>
          </w:tcPr>
          <w:p w14:paraId="0A873393" w14:textId="77777777" w:rsidR="00EC3ABE" w:rsidRPr="00775AAD" w:rsidRDefault="00EC3ABE" w:rsidP="00EC3ABE">
            <w:pPr>
              <w:spacing w:after="200"/>
              <w:rPr>
                <w:sz w:val="20"/>
                <w:szCs w:val="20"/>
              </w:rPr>
            </w:pPr>
            <w:r w:rsidRPr="00775AAD">
              <w:rPr>
                <w:sz w:val="20"/>
                <w:szCs w:val="20"/>
              </w:rPr>
              <w:t>In this study, we draw on modern literature and illustrative cases to identify patterns of technological value creation in the healthcare industry, with the goal of developing an understanding of the challenges and opportunities for technology entrepreneurs. </w:t>
            </w:r>
          </w:p>
        </w:tc>
        <w:tc>
          <w:tcPr>
            <w:tcW w:w="921" w:type="pct"/>
          </w:tcPr>
          <w:p w14:paraId="7FD24D57"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 xml:space="preserve">First, potential customers of healthcare services, such as physicians or patients, may not even assume that standard medical procedures or business processes can be performed in a new, atypical way. </w:t>
            </w:r>
          </w:p>
        </w:tc>
        <w:tc>
          <w:tcPr>
            <w:tcW w:w="851" w:type="pct"/>
          </w:tcPr>
          <w:p w14:paraId="41EDF2A0"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t xml:space="preserve">It is worth paying more attention to practical steps and concrete recommendations for technology entrepreneurs when working with healthcare industry representatives. </w:t>
            </w:r>
          </w:p>
        </w:tc>
      </w:tr>
      <w:tr w:rsidR="00EC3ABE" w:rsidRPr="00775AAD" w14:paraId="0B1B449E" w14:textId="77777777" w:rsidTr="00EC3ABE">
        <w:trPr>
          <w:trHeight w:val="1011"/>
        </w:trPr>
        <w:tc>
          <w:tcPr>
            <w:tcW w:w="625" w:type="pct"/>
          </w:tcPr>
          <w:p w14:paraId="69D21BE3" w14:textId="77777777" w:rsidR="00EC3ABE" w:rsidRPr="00775AAD" w:rsidRDefault="00EC3ABE" w:rsidP="00EC3ABE">
            <w:pPr>
              <w:spacing w:after="200"/>
              <w:ind w:hanging="2"/>
              <w:rPr>
                <w:sz w:val="20"/>
                <w:szCs w:val="20"/>
              </w:rPr>
            </w:pPr>
            <w:r w:rsidRPr="00775AAD">
              <w:rPr>
                <w:sz w:val="20"/>
                <w:szCs w:val="20"/>
              </w:rPr>
              <w:t xml:space="preserve">Loots, E., Goossens, E., Vanwesemael, T., Morrens, M., Van Rompaey, </w:t>
            </w:r>
            <w:r w:rsidRPr="00775AAD">
              <w:rPr>
                <w:sz w:val="20"/>
                <w:szCs w:val="20"/>
              </w:rPr>
              <w:lastRenderedPageBreak/>
              <w:t>B., &amp; Dilles, T. (2021).</w:t>
            </w:r>
          </w:p>
        </w:tc>
        <w:tc>
          <w:tcPr>
            <w:tcW w:w="557" w:type="pct"/>
          </w:tcPr>
          <w:p w14:paraId="3C84BFBD" w14:textId="77777777"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lastRenderedPageBreak/>
              <w:t>Level III</w:t>
            </w:r>
          </w:p>
          <w:p w14:paraId="56C8A001" w14:textId="44D58DF1" w:rsidR="00EC3ABE" w:rsidRPr="00775AAD" w:rsidRDefault="00EC3ABE" w:rsidP="00EC3ABE">
            <w:pPr>
              <w:spacing w:after="200"/>
              <w:rPr>
                <w:rFonts w:eastAsia="Calibri"/>
                <w:color w:val="000000" w:themeColor="text1"/>
                <w:sz w:val="20"/>
                <w:szCs w:val="20"/>
              </w:rPr>
            </w:pPr>
            <w:r w:rsidRPr="00775AAD">
              <w:rPr>
                <w:rFonts w:eastAsia="Calibri"/>
                <w:color w:val="000000" w:themeColor="text1"/>
                <w:sz w:val="20"/>
                <w:szCs w:val="20"/>
              </w:rPr>
              <w:t>Quality</w:t>
            </w:r>
            <w:r>
              <w:rPr>
                <w:rFonts w:eastAsia="Calibri"/>
                <w:color w:val="000000" w:themeColor="text1"/>
                <w:sz w:val="20"/>
                <w:szCs w:val="20"/>
              </w:rPr>
              <w:t xml:space="preserve"> </w:t>
            </w:r>
            <w:r w:rsidRPr="00775AAD">
              <w:rPr>
                <w:rFonts w:eastAsia="Calibri"/>
                <w:color w:val="000000" w:themeColor="text1"/>
                <w:sz w:val="20"/>
                <w:szCs w:val="20"/>
              </w:rPr>
              <w:t>A</w:t>
            </w:r>
            <w:r>
              <w:rPr>
                <w:rFonts w:eastAsia="Calibri"/>
                <w:color w:val="000000" w:themeColor="text1"/>
                <w:sz w:val="20"/>
                <w:szCs w:val="20"/>
              </w:rPr>
              <w:t xml:space="preserve"> </w:t>
            </w:r>
            <w:r w:rsidRPr="00775AAD">
              <w:rPr>
                <w:rFonts w:eastAsia="Calibri"/>
                <w:color w:val="000000" w:themeColor="text1"/>
                <w:sz w:val="20"/>
                <w:szCs w:val="20"/>
              </w:rPr>
              <w:t>(High)</w:t>
            </w:r>
          </w:p>
        </w:tc>
        <w:tc>
          <w:tcPr>
            <w:tcW w:w="1062" w:type="pct"/>
          </w:tcPr>
          <w:p w14:paraId="69AF2226" w14:textId="77777777" w:rsidR="00EC3ABE" w:rsidRPr="00775AAD" w:rsidRDefault="00EC3ABE" w:rsidP="00EC3ABE">
            <w:pPr>
              <w:pStyle w:val="p1"/>
              <w:spacing w:after="200" w:line="240" w:lineRule="auto"/>
              <w:rPr>
                <w:rFonts w:ascii="Times New Roman" w:hAnsi="Times New Roman" w:cs="Times New Roman"/>
                <w:sz w:val="20"/>
                <w:szCs w:val="20"/>
                <w:shd w:val="clear" w:color="auto" w:fill="FFFFFF"/>
              </w:rPr>
            </w:pPr>
            <w:r w:rsidRPr="00775AAD">
              <w:rPr>
                <w:rFonts w:ascii="Times New Roman" w:hAnsi="Times New Roman" w:cs="Times New Roman"/>
                <w:sz w:val="20"/>
                <w:szCs w:val="20"/>
              </w:rPr>
              <w:t xml:space="preserve">Our review is the first to provide a synthesis of the effectiveness of interventions aiming to improve medication adherence in patients with schizophrenia or bipolar </w:t>
            </w:r>
            <w:r w:rsidRPr="00775AAD">
              <w:rPr>
                <w:rFonts w:ascii="Times New Roman" w:hAnsi="Times New Roman" w:cs="Times New Roman"/>
                <w:sz w:val="20"/>
                <w:szCs w:val="20"/>
              </w:rPr>
              <w:lastRenderedPageBreak/>
              <w:t xml:space="preserve">disorders. Successful interventions used a combination of educational and behavioral strategies. </w:t>
            </w:r>
          </w:p>
        </w:tc>
        <w:tc>
          <w:tcPr>
            <w:tcW w:w="983" w:type="pct"/>
          </w:tcPr>
          <w:p w14:paraId="7EBDF932" w14:textId="77777777" w:rsidR="00EC3ABE" w:rsidRPr="00775AAD" w:rsidRDefault="00EC3ABE" w:rsidP="00EC3ABE">
            <w:pPr>
              <w:spacing w:after="200"/>
              <w:rPr>
                <w:sz w:val="20"/>
                <w:szCs w:val="20"/>
              </w:rPr>
            </w:pPr>
            <w:r w:rsidRPr="00775AAD">
              <w:rPr>
                <w:sz w:val="20"/>
                <w:szCs w:val="20"/>
              </w:rPr>
              <w:lastRenderedPageBreak/>
              <w:t xml:space="preserve">A total of 4238 participants, ranging from 30 to 1268 per study, were included. Of the total sample, 2967 patients (70%) were diagnosed with </w:t>
            </w:r>
            <w:r w:rsidRPr="00775AAD">
              <w:rPr>
                <w:sz w:val="20"/>
                <w:szCs w:val="20"/>
              </w:rPr>
              <w:lastRenderedPageBreak/>
              <w:t xml:space="preserve">schizophrenia or schizoaffective or schizophrenic disorders, and 1271 patients (30%) were diagnosed with bipolar disorder. </w:t>
            </w:r>
          </w:p>
        </w:tc>
        <w:tc>
          <w:tcPr>
            <w:tcW w:w="921" w:type="pct"/>
          </w:tcPr>
          <w:p w14:paraId="590DFADC"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lastRenderedPageBreak/>
              <w:t xml:space="preserve">The aim of this systematic review and meta-analysis was to compare the effectiveness of interventions to improve medication </w:t>
            </w:r>
            <w:r w:rsidRPr="00775AAD">
              <w:rPr>
                <w:rFonts w:ascii="Times New Roman" w:hAnsi="Times New Roman" w:cs="Times New Roman"/>
                <w:sz w:val="20"/>
                <w:szCs w:val="20"/>
              </w:rPr>
              <w:lastRenderedPageBreak/>
              <w:t>adherence in patients with schizophrenia or bipolar disorders.</w:t>
            </w:r>
          </w:p>
        </w:tc>
        <w:tc>
          <w:tcPr>
            <w:tcW w:w="851" w:type="pct"/>
          </w:tcPr>
          <w:p w14:paraId="085DA1F7" w14:textId="77777777" w:rsidR="00EC3ABE" w:rsidRPr="00775AAD" w:rsidRDefault="00EC3ABE" w:rsidP="00EC3ABE">
            <w:pPr>
              <w:pStyle w:val="p1"/>
              <w:spacing w:after="200" w:line="240" w:lineRule="auto"/>
              <w:rPr>
                <w:rFonts w:ascii="Times New Roman" w:hAnsi="Times New Roman" w:cs="Times New Roman"/>
                <w:sz w:val="20"/>
                <w:szCs w:val="20"/>
              </w:rPr>
            </w:pPr>
            <w:r w:rsidRPr="00775AAD">
              <w:rPr>
                <w:rFonts w:ascii="Times New Roman" w:hAnsi="Times New Roman" w:cs="Times New Roman"/>
                <w:sz w:val="20"/>
                <w:szCs w:val="20"/>
              </w:rPr>
              <w:lastRenderedPageBreak/>
              <w:t xml:space="preserve">Our findings underscore the need for future studies to employ mixed interventions. These interventions, which </w:t>
            </w:r>
            <w:r w:rsidRPr="00775AAD">
              <w:rPr>
                <w:rFonts w:ascii="Times New Roman" w:hAnsi="Times New Roman" w:cs="Times New Roman"/>
                <w:sz w:val="20"/>
                <w:szCs w:val="20"/>
              </w:rPr>
              <w:lastRenderedPageBreak/>
              <w:t xml:space="preserve">incorporate elements of education, motivational interviewing, and medication self-management, assess adherence rates by utilizing a combination of measurement tools during extended follow-up periods. </w:t>
            </w:r>
          </w:p>
        </w:tc>
      </w:tr>
    </w:tbl>
    <w:p w14:paraId="6E22A74C" w14:textId="77777777" w:rsidR="00231C92" w:rsidRPr="00775AAD" w:rsidRDefault="00231C92" w:rsidP="00775AAD"/>
    <w:p w14:paraId="30261025" w14:textId="77777777" w:rsidR="00775AAD" w:rsidRPr="00775AAD" w:rsidRDefault="00775AAD" w:rsidP="00775AAD"/>
    <w:p w14:paraId="7F04900A" w14:textId="77777777" w:rsidR="00775AAD" w:rsidRDefault="00775AAD" w:rsidP="00231C92">
      <w:pPr>
        <w:spacing w:after="160" w:line="259" w:lineRule="auto"/>
      </w:pPr>
    </w:p>
    <w:p w14:paraId="5CA6A881" w14:textId="009B57C0" w:rsidR="00231C92" w:rsidRPr="00231C92" w:rsidRDefault="00231C92" w:rsidP="00231C92">
      <w:pPr>
        <w:sectPr w:rsidR="00231C92" w:rsidRPr="00231C92" w:rsidSect="00C130DF">
          <w:headerReference w:type="default" r:id="rId113"/>
          <w:footerReference w:type="default" r:id="rId114"/>
          <w:pgSz w:w="15840" w:h="12240" w:orient="landscape" w:code="1"/>
          <w:pgMar w:top="2160" w:right="1872" w:bottom="1440" w:left="1440" w:header="1440" w:footer="1440" w:gutter="0"/>
          <w:cols w:space="720"/>
          <w:noEndnote/>
          <w:docGrid w:linePitch="360"/>
        </w:sectPr>
      </w:pPr>
    </w:p>
    <w:p w14:paraId="7841859A" w14:textId="26CBA0EE" w:rsidR="00017C81" w:rsidRDefault="00C7035E" w:rsidP="00775AAD">
      <w:pPr>
        <w:pStyle w:val="APALevel0"/>
      </w:pPr>
      <w:r w:rsidRPr="00775AAD">
        <w:lastRenderedPageBreak/>
        <w:t xml:space="preserve">Appendix </w:t>
      </w:r>
      <w:r w:rsidR="00B0324B" w:rsidRPr="00775AAD">
        <w:t>D</w:t>
      </w:r>
      <w:r w:rsidRPr="00775AAD">
        <w:t>: DHA Thematic Analysis Results</w:t>
      </w:r>
      <w:bookmarkStart w:id="121" w:name="_Toc130372409"/>
    </w:p>
    <w:tbl>
      <w:tblPr>
        <w:tblStyle w:val="TableGrid"/>
        <w:tblpPr w:leftFromText="180" w:rightFromText="180" w:vertAnchor="text" w:tblpXSpec="center" w:tblpY="1"/>
        <w:tblOverlap w:val="never"/>
        <w:tblW w:w="5000" w:type="pct"/>
        <w:tblLook w:val="04A0" w:firstRow="1" w:lastRow="0" w:firstColumn="1" w:lastColumn="0" w:noHBand="0" w:noVBand="1"/>
      </w:tblPr>
      <w:tblGrid>
        <w:gridCol w:w="3961"/>
        <w:gridCol w:w="4609"/>
        <w:gridCol w:w="3948"/>
      </w:tblGrid>
      <w:tr w:rsidR="00675E11" w:rsidRPr="005611DA" w14:paraId="0421F193" w14:textId="77777777" w:rsidTr="00775AAD">
        <w:trPr>
          <w:tblHeader/>
        </w:trPr>
        <w:tc>
          <w:tcPr>
            <w:tcW w:w="1582" w:type="pct"/>
            <w:vAlign w:val="bottom"/>
          </w:tcPr>
          <w:p w14:paraId="01A92FBC" w14:textId="77777777" w:rsidR="00775AAD" w:rsidRDefault="00775AAD">
            <w:pPr>
              <w:jc w:val="center"/>
              <w:rPr>
                <w:b/>
                <w:bCs/>
                <w:sz w:val="20"/>
                <w:szCs w:val="20"/>
              </w:rPr>
            </w:pPr>
          </w:p>
          <w:p w14:paraId="5298DF84" w14:textId="77777777" w:rsidR="00775AAD" w:rsidRPr="005611DA" w:rsidRDefault="00775AAD">
            <w:pPr>
              <w:jc w:val="center"/>
              <w:rPr>
                <w:b/>
                <w:bCs/>
                <w:sz w:val="20"/>
                <w:szCs w:val="20"/>
              </w:rPr>
            </w:pPr>
            <w:r w:rsidRPr="005611DA">
              <w:rPr>
                <w:b/>
                <w:bCs/>
                <w:sz w:val="20"/>
                <w:szCs w:val="20"/>
              </w:rPr>
              <w:t>Author(s) and date</w:t>
            </w:r>
          </w:p>
        </w:tc>
        <w:tc>
          <w:tcPr>
            <w:tcW w:w="1841" w:type="pct"/>
            <w:vAlign w:val="bottom"/>
          </w:tcPr>
          <w:p w14:paraId="4DC3A8D7" w14:textId="77777777" w:rsidR="00775AAD" w:rsidRPr="005611DA" w:rsidRDefault="00775AAD">
            <w:pPr>
              <w:jc w:val="center"/>
              <w:rPr>
                <w:b/>
                <w:bCs/>
                <w:sz w:val="20"/>
                <w:szCs w:val="20"/>
              </w:rPr>
            </w:pPr>
            <w:r w:rsidRPr="005611DA">
              <w:rPr>
                <w:b/>
                <w:bCs/>
                <w:sz w:val="20"/>
                <w:szCs w:val="20"/>
              </w:rPr>
              <w:t>Key Findings and Initial Codes</w:t>
            </w:r>
          </w:p>
        </w:tc>
        <w:tc>
          <w:tcPr>
            <w:tcW w:w="1577" w:type="pct"/>
            <w:vAlign w:val="bottom"/>
          </w:tcPr>
          <w:p w14:paraId="663115E5" w14:textId="77777777" w:rsidR="00775AAD" w:rsidRPr="005611DA" w:rsidRDefault="00775AAD">
            <w:pPr>
              <w:jc w:val="center"/>
              <w:rPr>
                <w:b/>
                <w:bCs/>
                <w:sz w:val="20"/>
                <w:szCs w:val="20"/>
              </w:rPr>
            </w:pPr>
            <w:r w:rsidRPr="005611DA">
              <w:rPr>
                <w:b/>
                <w:bCs/>
                <w:sz w:val="20"/>
                <w:szCs w:val="20"/>
              </w:rPr>
              <w:t>Code List for Theme Development</w:t>
            </w:r>
          </w:p>
        </w:tc>
      </w:tr>
      <w:tr w:rsidR="00675E11" w:rsidRPr="005611DA" w14:paraId="680CA889" w14:textId="77777777">
        <w:tc>
          <w:tcPr>
            <w:tcW w:w="1582" w:type="pct"/>
          </w:tcPr>
          <w:p w14:paraId="253D3FCA" w14:textId="77777777" w:rsidR="00775AAD" w:rsidRPr="005611DA" w:rsidRDefault="00775AAD">
            <w:pPr>
              <w:spacing w:after="200"/>
              <w:rPr>
                <w:sz w:val="20"/>
                <w:szCs w:val="20"/>
              </w:rPr>
            </w:pPr>
            <w:r w:rsidRPr="005611DA">
              <w:rPr>
                <w:sz w:val="20"/>
                <w:szCs w:val="20"/>
              </w:rPr>
              <w:t xml:space="preserve">Al-Arkee, S., Mason, J., Lane, D. A., Fabritz, L., Chua, W., Haque, M. S., &amp; Jalal, Z. (2021). </w:t>
            </w:r>
          </w:p>
        </w:tc>
        <w:tc>
          <w:tcPr>
            <w:tcW w:w="1841" w:type="pct"/>
          </w:tcPr>
          <w:p w14:paraId="39C4E261" w14:textId="77777777" w:rsidR="00775AAD" w:rsidRPr="005611DA" w:rsidRDefault="00775AAD">
            <w:pPr>
              <w:spacing w:after="200"/>
              <w:rPr>
                <w:sz w:val="20"/>
                <w:szCs w:val="20"/>
              </w:rPr>
            </w:pPr>
            <w:r w:rsidRPr="005611DA">
              <w:rPr>
                <w:color w:val="808080"/>
                <w:sz w:val="20"/>
                <w:szCs w:val="20"/>
              </w:rPr>
              <w:t>12</w:t>
            </w:r>
            <w:r w:rsidRPr="005611DA">
              <w:rPr>
                <w:sz w:val="20"/>
                <w:szCs w:val="20"/>
              </w:rPr>
              <w:t xml:space="preserve"> RCTs reporting medication adherence.</w:t>
            </w:r>
          </w:p>
        </w:tc>
        <w:tc>
          <w:tcPr>
            <w:tcW w:w="1577" w:type="pct"/>
          </w:tcPr>
          <w:p w14:paraId="512D6D57" w14:textId="77777777" w:rsidR="00775AAD" w:rsidRPr="005611DA" w:rsidRDefault="00775AAD">
            <w:pPr>
              <w:spacing w:after="200"/>
              <w:contextualSpacing/>
              <w:rPr>
                <w:sz w:val="20"/>
                <w:szCs w:val="20"/>
              </w:rPr>
            </w:pPr>
            <w:r w:rsidRPr="005611DA">
              <w:rPr>
                <w:sz w:val="20"/>
                <w:szCs w:val="20"/>
              </w:rPr>
              <w:t>Web-based management programs</w:t>
            </w:r>
          </w:p>
          <w:p w14:paraId="56C89518" w14:textId="77777777" w:rsidR="00775AAD" w:rsidRPr="005611DA" w:rsidRDefault="00775AAD">
            <w:pPr>
              <w:spacing w:after="200"/>
              <w:rPr>
                <w:sz w:val="20"/>
                <w:szCs w:val="20"/>
              </w:rPr>
            </w:pPr>
          </w:p>
        </w:tc>
      </w:tr>
      <w:tr w:rsidR="00675E11" w:rsidRPr="005611DA" w14:paraId="0342DEC4" w14:textId="77777777">
        <w:tc>
          <w:tcPr>
            <w:tcW w:w="1582" w:type="pct"/>
          </w:tcPr>
          <w:p w14:paraId="48AA8269" w14:textId="77777777" w:rsidR="00775AAD" w:rsidRPr="008F02C4" w:rsidRDefault="00775AAD">
            <w:pPr>
              <w:spacing w:after="200"/>
              <w:rPr>
                <w:sz w:val="20"/>
                <w:szCs w:val="20"/>
                <w:lang w:val="es-ES"/>
              </w:rPr>
            </w:pPr>
            <w:r w:rsidRPr="008F02C4">
              <w:rPr>
                <w:sz w:val="20"/>
                <w:szCs w:val="20"/>
                <w:lang w:val="es-ES"/>
              </w:rPr>
              <w:t xml:space="preserve">Babel, A., Taneja, R., Mondello Malvestiti, F., Monaco, A., &amp; Donde, S. (2021). </w:t>
            </w:r>
          </w:p>
        </w:tc>
        <w:tc>
          <w:tcPr>
            <w:tcW w:w="1841" w:type="pct"/>
          </w:tcPr>
          <w:p w14:paraId="5059CC89" w14:textId="77777777" w:rsidR="00775AAD" w:rsidRPr="005611DA" w:rsidRDefault="00775AAD">
            <w:pPr>
              <w:spacing w:after="200"/>
              <w:rPr>
                <w:sz w:val="20"/>
                <w:szCs w:val="20"/>
              </w:rPr>
            </w:pPr>
            <w:r w:rsidRPr="005611DA">
              <w:rPr>
                <w:color w:val="282828"/>
                <w:sz w:val="20"/>
                <w:szCs w:val="20"/>
                <w:shd w:val="clear" w:color="auto" w:fill="F7F7F7"/>
              </w:rPr>
              <w:t xml:space="preserve">The use of AI may be key to understanding the complex interplay of factors that underlie medication non-adherence in NCD patients. AI and AI-assisted interventions aim to enhance communication between patients and physicians, monitor medication adherence, and empower patients, ultimately increasing adherence levels and potentially leading to improved clinical outcomes and enhanced quality of life for NCD patients. </w:t>
            </w:r>
          </w:p>
        </w:tc>
        <w:tc>
          <w:tcPr>
            <w:tcW w:w="1577" w:type="pct"/>
          </w:tcPr>
          <w:p w14:paraId="20088E2C" w14:textId="77777777" w:rsidR="00775AAD" w:rsidRPr="005611DA" w:rsidRDefault="00775AAD">
            <w:pPr>
              <w:spacing w:after="200"/>
              <w:rPr>
                <w:sz w:val="20"/>
                <w:szCs w:val="20"/>
              </w:rPr>
            </w:pPr>
            <w:r w:rsidRPr="005611DA">
              <w:rPr>
                <w:sz w:val="20"/>
                <w:szCs w:val="20"/>
              </w:rPr>
              <w:t>Patient Education of AI and AI-assistive Technologies in Healthcare.</w:t>
            </w:r>
          </w:p>
        </w:tc>
      </w:tr>
      <w:tr w:rsidR="00675E11" w:rsidRPr="005611DA" w14:paraId="7AEE0B30" w14:textId="77777777">
        <w:tc>
          <w:tcPr>
            <w:tcW w:w="1582" w:type="pct"/>
          </w:tcPr>
          <w:p w14:paraId="3768C232" w14:textId="77777777" w:rsidR="00775AAD" w:rsidRPr="005611DA" w:rsidRDefault="00775AAD">
            <w:pPr>
              <w:spacing w:after="200"/>
              <w:rPr>
                <w:sz w:val="20"/>
                <w:szCs w:val="20"/>
              </w:rPr>
            </w:pPr>
            <w:r w:rsidRPr="005611DA">
              <w:rPr>
                <w:sz w:val="20"/>
                <w:szCs w:val="20"/>
              </w:rPr>
              <w:t xml:space="preserve">Baryakova, T. H., Pogostin, B. H., Langer, R., &amp; McHugh, K. J. (2023). </w:t>
            </w:r>
          </w:p>
          <w:p w14:paraId="48EECC76" w14:textId="77777777" w:rsidR="00775AAD" w:rsidRPr="005611DA" w:rsidRDefault="00775AAD">
            <w:pPr>
              <w:spacing w:after="200"/>
              <w:rPr>
                <w:sz w:val="20"/>
                <w:szCs w:val="20"/>
              </w:rPr>
            </w:pPr>
          </w:p>
        </w:tc>
        <w:tc>
          <w:tcPr>
            <w:tcW w:w="1841" w:type="pct"/>
          </w:tcPr>
          <w:p w14:paraId="24721576" w14:textId="3738866C" w:rsidR="00775AAD" w:rsidRPr="005611DA" w:rsidRDefault="00775AAD" w:rsidP="00775AAD">
            <w:pPr>
              <w:pStyle w:val="p1"/>
              <w:spacing w:after="200" w:line="240" w:lineRule="auto"/>
              <w:rPr>
                <w:rFonts w:ascii="Times New Roman" w:hAnsi="Times New Roman" w:cs="Times New Roman"/>
                <w:sz w:val="20"/>
                <w:szCs w:val="20"/>
              </w:rPr>
            </w:pPr>
            <w:r w:rsidRPr="005611DA">
              <w:rPr>
                <w:rFonts w:ascii="Times New Roman" w:hAnsi="Times New Roman" w:cs="Times New Roman"/>
                <w:sz w:val="20"/>
                <w:szCs w:val="20"/>
              </w:rPr>
              <w:t>To have the greatest impact, drug delivery systems must be developed in a way that</w:t>
            </w:r>
            <w:r>
              <w:rPr>
                <w:rFonts w:ascii="Times New Roman" w:hAnsi="Times New Roman" w:cs="Times New Roman"/>
                <w:sz w:val="20"/>
                <w:szCs w:val="20"/>
              </w:rPr>
              <w:t xml:space="preserve"> </w:t>
            </w:r>
            <w:r w:rsidRPr="005611DA">
              <w:rPr>
                <w:rFonts w:ascii="Times New Roman" w:hAnsi="Times New Roman" w:cs="Times New Roman"/>
                <w:sz w:val="20"/>
                <w:szCs w:val="20"/>
              </w:rPr>
              <w:t>aligns with the needs of patients, clinicians, pharmaceutical companies,</w:t>
            </w:r>
            <w:r>
              <w:rPr>
                <w:rFonts w:ascii="Times New Roman" w:hAnsi="Times New Roman" w:cs="Times New Roman"/>
                <w:sz w:val="20"/>
                <w:szCs w:val="20"/>
              </w:rPr>
              <w:t xml:space="preserve"> </w:t>
            </w:r>
            <w:r w:rsidRPr="005611DA">
              <w:rPr>
                <w:rStyle w:val="s1"/>
                <w:rFonts w:ascii="Times New Roman" w:hAnsi="Times New Roman" w:cs="Times New Roman"/>
                <w:sz w:val="20"/>
                <w:szCs w:val="20"/>
              </w:rPr>
              <w:t xml:space="preserve">and payers. </w:t>
            </w:r>
          </w:p>
        </w:tc>
        <w:tc>
          <w:tcPr>
            <w:tcW w:w="1577" w:type="pct"/>
          </w:tcPr>
          <w:p w14:paraId="47AE0B23" w14:textId="77777777" w:rsidR="00775AAD" w:rsidRPr="005611DA" w:rsidRDefault="00775AAD">
            <w:pPr>
              <w:spacing w:after="200"/>
              <w:rPr>
                <w:sz w:val="20"/>
                <w:szCs w:val="20"/>
              </w:rPr>
            </w:pPr>
            <w:r w:rsidRPr="005611DA">
              <w:rPr>
                <w:rFonts w:eastAsia="Calibri"/>
                <w:sz w:val="20"/>
                <w:szCs w:val="20"/>
              </w:rPr>
              <w:t>Drug delivery Minimizes Barriers Leading to Medication Nonadherence.</w:t>
            </w:r>
          </w:p>
        </w:tc>
      </w:tr>
      <w:tr w:rsidR="00675E11" w:rsidRPr="005611DA" w14:paraId="6EFB3C1A" w14:textId="77777777">
        <w:tc>
          <w:tcPr>
            <w:tcW w:w="1582" w:type="pct"/>
          </w:tcPr>
          <w:p w14:paraId="19302999" w14:textId="77777777" w:rsidR="00775AAD" w:rsidRPr="005611DA" w:rsidRDefault="00775AAD">
            <w:pPr>
              <w:spacing w:after="200"/>
              <w:rPr>
                <w:sz w:val="20"/>
                <w:szCs w:val="20"/>
              </w:rPr>
            </w:pPr>
            <w:r w:rsidRPr="005611DA">
              <w:rPr>
                <w:sz w:val="20"/>
                <w:szCs w:val="20"/>
              </w:rPr>
              <w:t xml:space="preserve">Booth, R. G., Strudwick, G., McBride, S., O’Connor, S., &amp; Solano López, A. L. (2021). </w:t>
            </w:r>
          </w:p>
        </w:tc>
        <w:tc>
          <w:tcPr>
            <w:tcW w:w="1841" w:type="pct"/>
          </w:tcPr>
          <w:p w14:paraId="3117CFCA" w14:textId="6693558A" w:rsidR="00775AAD" w:rsidRPr="005611DA" w:rsidRDefault="00775AAD" w:rsidP="00775AAD">
            <w:pPr>
              <w:pStyle w:val="p1"/>
              <w:spacing w:after="200" w:line="240" w:lineRule="auto"/>
              <w:rPr>
                <w:rFonts w:ascii="Times New Roman" w:hAnsi="Times New Roman" w:cs="Times New Roman"/>
                <w:sz w:val="20"/>
                <w:szCs w:val="20"/>
              </w:rPr>
            </w:pPr>
            <w:r w:rsidRPr="005611DA">
              <w:rPr>
                <w:rFonts w:ascii="Times New Roman" w:hAnsi="Times New Roman" w:cs="Times New Roman"/>
                <w:sz w:val="20"/>
                <w:szCs w:val="20"/>
              </w:rPr>
              <w:t xml:space="preserve">To have the greatest impact, drug delivery systems must be developed in ways that align with the needs of patients, clinicians, pharmaceutical companies, </w:t>
            </w:r>
            <w:r w:rsidRPr="005611DA">
              <w:rPr>
                <w:rStyle w:val="s1"/>
                <w:rFonts w:ascii="Times New Roman" w:hAnsi="Times New Roman" w:cs="Times New Roman"/>
                <w:sz w:val="20"/>
                <w:szCs w:val="20"/>
              </w:rPr>
              <w:t xml:space="preserve">and payers. Whereas patients and clinicians typically want to achieve the best health outcomes with the fewest side effects (which should factor in the patient’s ability to adhere to the prescribed dosing regimen), Pharmaceutical companies seek profit, and payers aim to balance cost </w:t>
            </w:r>
            <w:r w:rsidRPr="005611DA">
              <w:rPr>
                <w:rFonts w:ascii="Times New Roman" w:hAnsi="Times New Roman" w:cs="Times New Roman"/>
                <w:sz w:val="20"/>
                <w:szCs w:val="20"/>
              </w:rPr>
              <w:t>and patient benefits.</w:t>
            </w:r>
          </w:p>
        </w:tc>
        <w:tc>
          <w:tcPr>
            <w:tcW w:w="1577" w:type="pct"/>
          </w:tcPr>
          <w:p w14:paraId="798B45A1" w14:textId="77777777" w:rsidR="00775AAD" w:rsidRPr="005611DA" w:rsidRDefault="00775AAD">
            <w:pPr>
              <w:spacing w:after="200"/>
              <w:rPr>
                <w:rFonts w:eastAsia="Calibri"/>
                <w:sz w:val="20"/>
                <w:szCs w:val="20"/>
              </w:rPr>
            </w:pPr>
            <w:r w:rsidRPr="005611DA">
              <w:rPr>
                <w:rFonts w:eastAsia="Calibri"/>
                <w:sz w:val="20"/>
                <w:szCs w:val="20"/>
              </w:rPr>
              <w:t>Nurses Adjust to Digital Technologies System Migration.</w:t>
            </w:r>
          </w:p>
        </w:tc>
      </w:tr>
      <w:tr w:rsidR="00675E11" w:rsidRPr="005611DA" w14:paraId="6361652E" w14:textId="77777777">
        <w:tc>
          <w:tcPr>
            <w:tcW w:w="1582" w:type="pct"/>
          </w:tcPr>
          <w:p w14:paraId="550E7C77" w14:textId="26C41E5B" w:rsidR="00775AAD" w:rsidRPr="005611DA" w:rsidRDefault="00775AAD" w:rsidP="00663710">
            <w:pPr>
              <w:spacing w:after="200"/>
              <w:rPr>
                <w:sz w:val="20"/>
                <w:szCs w:val="20"/>
              </w:rPr>
            </w:pPr>
            <w:r w:rsidRPr="005611DA">
              <w:rPr>
                <w:sz w:val="20"/>
                <w:szCs w:val="20"/>
              </w:rPr>
              <w:lastRenderedPageBreak/>
              <w:t xml:space="preserve">Buh, A., Deonandan, R., Gomes, J., Krentel, A., Oladimeji, O., &amp; Yaya, S. (2023). </w:t>
            </w:r>
          </w:p>
        </w:tc>
        <w:tc>
          <w:tcPr>
            <w:tcW w:w="1841" w:type="pct"/>
          </w:tcPr>
          <w:p w14:paraId="27C9BBE5" w14:textId="77777777" w:rsidR="00775AAD" w:rsidRPr="005611DA" w:rsidRDefault="00775AAD">
            <w:pPr>
              <w:spacing w:after="200"/>
              <w:rPr>
                <w:sz w:val="20"/>
                <w:szCs w:val="20"/>
              </w:rPr>
            </w:pPr>
            <w:r w:rsidRPr="005611DA">
              <w:rPr>
                <w:sz w:val="20"/>
                <w:szCs w:val="20"/>
              </w:rPr>
              <w:t>Forty-five participants were selected based on the inclusion criteria, and semi-structured interviews were conducted. The data were then analyzed.</w:t>
            </w:r>
          </w:p>
        </w:tc>
        <w:tc>
          <w:tcPr>
            <w:tcW w:w="1577" w:type="pct"/>
          </w:tcPr>
          <w:p w14:paraId="013A11CB" w14:textId="77777777" w:rsidR="00775AAD" w:rsidRPr="005611DA" w:rsidRDefault="00775AAD">
            <w:pPr>
              <w:spacing w:after="200"/>
              <w:rPr>
                <w:rFonts w:eastAsia="Calibri"/>
                <w:sz w:val="20"/>
                <w:szCs w:val="20"/>
              </w:rPr>
            </w:pPr>
            <w:r w:rsidRPr="005611DA">
              <w:rPr>
                <w:sz w:val="20"/>
                <w:szCs w:val="20"/>
              </w:rPr>
              <w:t>Comprehensive Strategies</w:t>
            </w:r>
          </w:p>
          <w:p w14:paraId="2BC944CE" w14:textId="77777777" w:rsidR="00775AAD" w:rsidRPr="005611DA" w:rsidRDefault="00775AAD">
            <w:pPr>
              <w:spacing w:after="200"/>
              <w:rPr>
                <w:sz w:val="20"/>
                <w:szCs w:val="20"/>
              </w:rPr>
            </w:pPr>
          </w:p>
        </w:tc>
      </w:tr>
      <w:tr w:rsidR="00675E11" w:rsidRPr="005611DA" w14:paraId="06026438" w14:textId="77777777">
        <w:tc>
          <w:tcPr>
            <w:tcW w:w="1582" w:type="pct"/>
          </w:tcPr>
          <w:p w14:paraId="2A7392F5" w14:textId="77777777" w:rsidR="00775AAD" w:rsidRPr="005611DA" w:rsidRDefault="00775AAD">
            <w:pPr>
              <w:spacing w:after="200"/>
              <w:rPr>
                <w:sz w:val="20"/>
                <w:szCs w:val="20"/>
              </w:rPr>
            </w:pPr>
            <w:r w:rsidRPr="005611DA">
              <w:rPr>
                <w:sz w:val="20"/>
                <w:szCs w:val="20"/>
              </w:rPr>
              <w:t xml:space="preserve">Cady, P. (2021). </w:t>
            </w:r>
          </w:p>
        </w:tc>
        <w:tc>
          <w:tcPr>
            <w:tcW w:w="1841" w:type="pct"/>
          </w:tcPr>
          <w:p w14:paraId="2ED978C0" w14:textId="77777777" w:rsidR="00775AAD" w:rsidRPr="005611DA" w:rsidRDefault="00775AAD">
            <w:pPr>
              <w:spacing w:after="200"/>
              <w:rPr>
                <w:sz w:val="20"/>
                <w:szCs w:val="20"/>
              </w:rPr>
            </w:pPr>
            <w:r w:rsidRPr="005611DA">
              <w:rPr>
                <w:sz w:val="20"/>
                <w:szCs w:val="20"/>
              </w:rPr>
              <w:t>This research was conducted to investigate the impact of system optimization leadership strategies, including innovation, collaboration, and data-driven decision-making, on financial and quality performance in organizations. </w:t>
            </w:r>
          </w:p>
        </w:tc>
        <w:tc>
          <w:tcPr>
            <w:tcW w:w="1577" w:type="pct"/>
          </w:tcPr>
          <w:p w14:paraId="67FA3CFB" w14:textId="77777777" w:rsidR="00775AAD" w:rsidRPr="005611DA" w:rsidRDefault="00775AAD">
            <w:pPr>
              <w:spacing w:after="200"/>
              <w:rPr>
                <w:rFonts w:eastAsia="Calibri"/>
                <w:sz w:val="20"/>
                <w:szCs w:val="20"/>
              </w:rPr>
            </w:pPr>
            <w:r w:rsidRPr="005611DA">
              <w:rPr>
                <w:sz w:val="20"/>
                <w:szCs w:val="20"/>
              </w:rPr>
              <w:t>Data-driven Decision-Making Affects Healthcare’s Financial Outlook.</w:t>
            </w:r>
          </w:p>
        </w:tc>
      </w:tr>
      <w:tr w:rsidR="00675E11" w:rsidRPr="005611DA" w14:paraId="73B63142" w14:textId="77777777">
        <w:tc>
          <w:tcPr>
            <w:tcW w:w="1582" w:type="pct"/>
          </w:tcPr>
          <w:p w14:paraId="24CB7590" w14:textId="77777777" w:rsidR="00775AAD" w:rsidRPr="005611DA" w:rsidRDefault="00775AAD">
            <w:pPr>
              <w:spacing w:after="200"/>
              <w:rPr>
                <w:sz w:val="20"/>
                <w:szCs w:val="20"/>
              </w:rPr>
            </w:pPr>
            <w:r w:rsidRPr="005611DA">
              <w:rPr>
                <w:sz w:val="20"/>
                <w:szCs w:val="20"/>
              </w:rPr>
              <w:t xml:space="preserve">Al Meslamani, A. Z. (2024). </w:t>
            </w:r>
          </w:p>
        </w:tc>
        <w:tc>
          <w:tcPr>
            <w:tcW w:w="1841" w:type="pct"/>
          </w:tcPr>
          <w:p w14:paraId="2C69D826" w14:textId="77777777" w:rsidR="00775AAD" w:rsidRPr="005611DA" w:rsidRDefault="00775AAD">
            <w:pPr>
              <w:spacing w:after="200"/>
              <w:rPr>
                <w:sz w:val="20"/>
                <w:szCs w:val="20"/>
              </w:rPr>
            </w:pPr>
            <w:r w:rsidRPr="005611DA">
              <w:rPr>
                <w:sz w:val="20"/>
                <w:szCs w:val="20"/>
              </w:rPr>
              <w:t>Addressing medication non-adherence requires an approach that combines multiple strategies.</w:t>
            </w:r>
          </w:p>
        </w:tc>
        <w:tc>
          <w:tcPr>
            <w:tcW w:w="1577" w:type="pct"/>
          </w:tcPr>
          <w:p w14:paraId="5D39210F" w14:textId="0F377710" w:rsidR="00775AAD" w:rsidRPr="005611DA" w:rsidRDefault="00775AAD" w:rsidP="00663710">
            <w:pPr>
              <w:spacing w:after="200"/>
              <w:rPr>
                <w:sz w:val="20"/>
                <w:szCs w:val="20"/>
              </w:rPr>
            </w:pPr>
            <w:r w:rsidRPr="005611DA">
              <w:rPr>
                <w:rFonts w:eastAsia="Calibri"/>
                <w:sz w:val="20"/>
                <w:szCs w:val="20"/>
              </w:rPr>
              <w:t>Multiple Strategic Approach</w:t>
            </w:r>
          </w:p>
        </w:tc>
      </w:tr>
      <w:tr w:rsidR="00675E11" w:rsidRPr="005611DA" w14:paraId="19993BD1" w14:textId="77777777">
        <w:tc>
          <w:tcPr>
            <w:tcW w:w="1582" w:type="pct"/>
          </w:tcPr>
          <w:p w14:paraId="447B97C4" w14:textId="5AF974D5" w:rsidR="00775AAD" w:rsidRPr="005611DA" w:rsidRDefault="00775AAD" w:rsidP="00663710">
            <w:pPr>
              <w:spacing w:after="200"/>
              <w:ind w:hanging="2"/>
              <w:rPr>
                <w:sz w:val="20"/>
                <w:szCs w:val="20"/>
              </w:rPr>
            </w:pPr>
            <w:r w:rsidRPr="005611DA">
              <w:rPr>
                <w:sz w:val="20"/>
                <w:szCs w:val="20"/>
              </w:rPr>
              <w:t xml:space="preserve">Aremu, T. O., Oluwole, O. E., Adeyinka, K. O., &amp; Schommer, J. C. (2022). </w:t>
            </w:r>
          </w:p>
        </w:tc>
        <w:tc>
          <w:tcPr>
            <w:tcW w:w="1841" w:type="pct"/>
          </w:tcPr>
          <w:p w14:paraId="547A03C8" w14:textId="77777777" w:rsidR="00775AAD" w:rsidRPr="005611DA" w:rsidRDefault="00775AAD">
            <w:pPr>
              <w:spacing w:after="200"/>
              <w:rPr>
                <w:sz w:val="20"/>
                <w:szCs w:val="20"/>
              </w:rPr>
            </w:pPr>
            <w:r w:rsidRPr="005611DA">
              <w:rPr>
                <w:sz w:val="20"/>
                <w:szCs w:val="20"/>
              </w:rPr>
              <w:t>Patients’ adherence to medications is a key factor in achieving improved health outcomes and overall well-being.</w:t>
            </w:r>
          </w:p>
        </w:tc>
        <w:tc>
          <w:tcPr>
            <w:tcW w:w="1577" w:type="pct"/>
          </w:tcPr>
          <w:p w14:paraId="7BFFA63C" w14:textId="5DDF4F7E" w:rsidR="00775AAD" w:rsidRPr="005611DA" w:rsidRDefault="00775AAD" w:rsidP="00663710">
            <w:pPr>
              <w:spacing w:after="200"/>
              <w:rPr>
                <w:sz w:val="20"/>
                <w:szCs w:val="20"/>
              </w:rPr>
            </w:pPr>
            <w:r w:rsidRPr="005611DA">
              <w:rPr>
                <w:rFonts w:eastAsia="Calibri"/>
                <w:sz w:val="20"/>
                <w:szCs w:val="20"/>
              </w:rPr>
              <w:t>Medication Nonadherence Impacts Patient Outcomes</w:t>
            </w:r>
          </w:p>
        </w:tc>
      </w:tr>
      <w:tr w:rsidR="00675E11" w:rsidRPr="005611DA" w14:paraId="246F95CB" w14:textId="77777777">
        <w:tc>
          <w:tcPr>
            <w:tcW w:w="1582" w:type="pct"/>
          </w:tcPr>
          <w:p w14:paraId="269889AF" w14:textId="77777777" w:rsidR="00775AAD" w:rsidRPr="005611DA" w:rsidRDefault="00775AAD">
            <w:pPr>
              <w:spacing w:after="200"/>
              <w:rPr>
                <w:sz w:val="20"/>
                <w:szCs w:val="20"/>
              </w:rPr>
            </w:pPr>
            <w:r w:rsidRPr="005611DA">
              <w:rPr>
                <w:sz w:val="20"/>
                <w:szCs w:val="20"/>
              </w:rPr>
              <w:t>Cahaya, N., Kristina, S. A., Widayanti, A. W., &amp; Green, J. (2022).</w:t>
            </w:r>
          </w:p>
          <w:p w14:paraId="44E6C05C" w14:textId="77777777" w:rsidR="00775AAD" w:rsidRPr="005611DA" w:rsidRDefault="00775AAD">
            <w:pPr>
              <w:spacing w:after="200"/>
              <w:rPr>
                <w:sz w:val="20"/>
                <w:szCs w:val="20"/>
              </w:rPr>
            </w:pPr>
          </w:p>
        </w:tc>
        <w:tc>
          <w:tcPr>
            <w:tcW w:w="1841" w:type="pct"/>
          </w:tcPr>
          <w:p w14:paraId="636E75B1" w14:textId="77777777" w:rsidR="00775AAD" w:rsidRPr="005611DA" w:rsidRDefault="00775AAD">
            <w:pPr>
              <w:spacing w:after="200"/>
              <w:rPr>
                <w:sz w:val="20"/>
                <w:szCs w:val="20"/>
              </w:rPr>
            </w:pPr>
            <w:r w:rsidRPr="005611DA">
              <w:rPr>
                <w:sz w:val="20"/>
                <w:szCs w:val="20"/>
              </w:rPr>
              <w:t>Interventions using various strategies have the potential to reduce medication nonadherence in schizophrenic patients, enabling them to be used as adjunctive therapy</w:t>
            </w:r>
          </w:p>
        </w:tc>
        <w:tc>
          <w:tcPr>
            <w:tcW w:w="1577" w:type="pct"/>
          </w:tcPr>
          <w:p w14:paraId="1FA5F333" w14:textId="77777777" w:rsidR="00775AAD" w:rsidRPr="005611DA" w:rsidRDefault="00775AAD">
            <w:pPr>
              <w:spacing w:after="200"/>
              <w:rPr>
                <w:rFonts w:eastAsia="Calibri"/>
                <w:sz w:val="20"/>
                <w:szCs w:val="20"/>
              </w:rPr>
            </w:pPr>
            <w:r w:rsidRPr="005611DA">
              <w:rPr>
                <w:rFonts w:eastAsia="Calibri"/>
                <w:sz w:val="20"/>
                <w:szCs w:val="20"/>
              </w:rPr>
              <w:t>Mental Health Intervention Strategies</w:t>
            </w:r>
          </w:p>
          <w:p w14:paraId="3C6FB495" w14:textId="77777777" w:rsidR="00775AAD" w:rsidRPr="005611DA" w:rsidRDefault="00775AAD">
            <w:pPr>
              <w:spacing w:after="200"/>
              <w:rPr>
                <w:sz w:val="20"/>
                <w:szCs w:val="20"/>
              </w:rPr>
            </w:pPr>
          </w:p>
        </w:tc>
      </w:tr>
      <w:tr w:rsidR="00675E11" w:rsidRPr="005611DA" w14:paraId="5C4C1157" w14:textId="77777777">
        <w:tc>
          <w:tcPr>
            <w:tcW w:w="1582" w:type="pct"/>
          </w:tcPr>
          <w:p w14:paraId="08415905" w14:textId="2F03E3F9" w:rsidR="00775AAD" w:rsidRPr="005611DA" w:rsidRDefault="00775AAD" w:rsidP="00663710">
            <w:pPr>
              <w:spacing w:after="200"/>
              <w:ind w:hanging="2"/>
              <w:rPr>
                <w:sz w:val="20"/>
                <w:szCs w:val="20"/>
              </w:rPr>
            </w:pPr>
            <w:r w:rsidRPr="005611DA">
              <w:rPr>
                <w:sz w:val="20"/>
                <w:szCs w:val="20"/>
              </w:rPr>
              <w:t xml:space="preserve">Chapman, S., Frostholm, L., Chalder, T., Graham, C., de Thurah, A., van Leeuwen, T., Pedersen, M. M., Carstensen, T., &amp; Weinman, J. (2024). </w:t>
            </w:r>
          </w:p>
        </w:tc>
        <w:tc>
          <w:tcPr>
            <w:tcW w:w="1841" w:type="pct"/>
          </w:tcPr>
          <w:p w14:paraId="4E00CFC9" w14:textId="77777777" w:rsidR="00775AAD" w:rsidRPr="005611DA" w:rsidRDefault="00775AAD">
            <w:pPr>
              <w:spacing w:after="200"/>
              <w:rPr>
                <w:sz w:val="20"/>
                <w:szCs w:val="20"/>
              </w:rPr>
            </w:pPr>
            <w:r w:rsidRPr="005611DA">
              <w:rPr>
                <w:sz w:val="20"/>
                <w:szCs w:val="20"/>
              </w:rPr>
              <w:t>Preventing nonadherence before it becomes established may be achievable and could arguably yield greater benefit for patients, healthcare professionals, and healthcare systems.</w:t>
            </w:r>
          </w:p>
        </w:tc>
        <w:tc>
          <w:tcPr>
            <w:tcW w:w="1577" w:type="pct"/>
          </w:tcPr>
          <w:p w14:paraId="103029FD" w14:textId="77777777" w:rsidR="00775AAD" w:rsidRPr="005611DA" w:rsidRDefault="00775AAD">
            <w:pPr>
              <w:spacing w:after="200"/>
              <w:rPr>
                <w:rFonts w:eastAsia="Calibri"/>
                <w:sz w:val="20"/>
                <w:szCs w:val="20"/>
              </w:rPr>
            </w:pPr>
            <w:r w:rsidRPr="005611DA">
              <w:rPr>
                <w:sz w:val="20"/>
                <w:szCs w:val="20"/>
              </w:rPr>
              <w:t>Preventive Approach Improves Patient Medication Adherence</w:t>
            </w:r>
          </w:p>
          <w:p w14:paraId="22C78BD4" w14:textId="77777777" w:rsidR="00775AAD" w:rsidRPr="005611DA" w:rsidRDefault="00775AAD">
            <w:pPr>
              <w:spacing w:after="200"/>
              <w:rPr>
                <w:rFonts w:eastAsia="Calibri"/>
                <w:sz w:val="20"/>
                <w:szCs w:val="20"/>
              </w:rPr>
            </w:pPr>
          </w:p>
        </w:tc>
      </w:tr>
      <w:tr w:rsidR="00675E11" w:rsidRPr="005611DA" w14:paraId="4A5A2951" w14:textId="77777777">
        <w:tc>
          <w:tcPr>
            <w:tcW w:w="1582" w:type="pct"/>
          </w:tcPr>
          <w:p w14:paraId="1D189916" w14:textId="434DA412" w:rsidR="00775AAD" w:rsidRPr="008F02C4" w:rsidRDefault="00775AAD" w:rsidP="00663710">
            <w:pPr>
              <w:spacing w:after="200"/>
              <w:ind w:hanging="2"/>
              <w:rPr>
                <w:sz w:val="20"/>
                <w:szCs w:val="20"/>
                <w:lang w:val="es-ES"/>
              </w:rPr>
            </w:pPr>
            <w:r w:rsidRPr="008F02C4">
              <w:rPr>
                <w:sz w:val="20"/>
                <w:szCs w:val="20"/>
                <w:lang w:val="es-ES"/>
              </w:rPr>
              <w:t xml:space="preserve">Corral-Partearroyo, C., Sánchez-Viñas, A., Gil-Girbau, M., Peñarrubia-María, M. T., Aznar-Lou, I., Gallardo-González, C., Olmos-Palenzuela, M. D. C., &amp; Rubio-Valera, M. (2022). </w:t>
            </w:r>
          </w:p>
        </w:tc>
        <w:tc>
          <w:tcPr>
            <w:tcW w:w="1841" w:type="pct"/>
          </w:tcPr>
          <w:p w14:paraId="53B5972A" w14:textId="77777777" w:rsidR="00775AAD" w:rsidRPr="005611DA" w:rsidRDefault="00775AAD">
            <w:pPr>
              <w:spacing w:after="200"/>
              <w:rPr>
                <w:sz w:val="20"/>
                <w:szCs w:val="20"/>
              </w:rPr>
            </w:pPr>
            <w:r w:rsidRPr="005611DA">
              <w:rPr>
                <w:sz w:val="20"/>
                <w:szCs w:val="20"/>
              </w:rPr>
              <w:t>We</w:t>
            </w:r>
            <w:r w:rsidRPr="005611DA">
              <w:rPr>
                <w:color w:val="000000"/>
                <w:sz w:val="20"/>
                <w:szCs w:val="20"/>
              </w:rPr>
              <w:t xml:space="preserve"> present the protocol for a mixed-methods process evaluation, incorporating both quantitative and qualitative methods to measure implementation and fidelity, as well as to explore the active mechanisms and interactions between the intervention, participants, and their context.</w:t>
            </w:r>
          </w:p>
        </w:tc>
        <w:tc>
          <w:tcPr>
            <w:tcW w:w="1577" w:type="pct"/>
          </w:tcPr>
          <w:p w14:paraId="78750C9B" w14:textId="77777777" w:rsidR="00775AAD" w:rsidRPr="005611DA" w:rsidRDefault="00775AAD">
            <w:pPr>
              <w:spacing w:after="200"/>
              <w:rPr>
                <w:rFonts w:eastAsia="Calibri"/>
                <w:sz w:val="20"/>
                <w:szCs w:val="20"/>
              </w:rPr>
            </w:pPr>
            <w:r w:rsidRPr="005611DA">
              <w:rPr>
                <w:rFonts w:eastAsia="Calibri"/>
                <w:sz w:val="20"/>
                <w:szCs w:val="20"/>
              </w:rPr>
              <w:t>Medication Nonadherence Requires a Complex Multidisciplinary Approach</w:t>
            </w:r>
          </w:p>
          <w:p w14:paraId="3D719B28" w14:textId="77777777" w:rsidR="00775AAD" w:rsidRPr="005611DA" w:rsidRDefault="00775AAD">
            <w:pPr>
              <w:spacing w:after="200"/>
              <w:rPr>
                <w:rFonts w:eastAsia="Calibri"/>
                <w:sz w:val="20"/>
                <w:szCs w:val="20"/>
              </w:rPr>
            </w:pPr>
          </w:p>
        </w:tc>
      </w:tr>
      <w:tr w:rsidR="00675E11" w:rsidRPr="005611DA" w14:paraId="5A66A47B" w14:textId="77777777">
        <w:tc>
          <w:tcPr>
            <w:tcW w:w="1582" w:type="pct"/>
          </w:tcPr>
          <w:p w14:paraId="33B65A9F" w14:textId="149C0D80" w:rsidR="00775AAD" w:rsidRPr="005611DA" w:rsidRDefault="00775AAD" w:rsidP="00663710">
            <w:pPr>
              <w:spacing w:after="200"/>
              <w:ind w:hanging="2"/>
              <w:rPr>
                <w:sz w:val="20"/>
                <w:szCs w:val="20"/>
              </w:rPr>
            </w:pPr>
            <w:r w:rsidRPr="005611DA">
              <w:rPr>
                <w:sz w:val="20"/>
                <w:szCs w:val="20"/>
              </w:rPr>
              <w:lastRenderedPageBreak/>
              <w:t xml:space="preserve">Emami, M., Haghdoost, A. A., Yazdi-Feyzabadi, V., &amp; Mehrolhassani, M. H. (2023). </w:t>
            </w:r>
          </w:p>
        </w:tc>
        <w:tc>
          <w:tcPr>
            <w:tcW w:w="1841" w:type="pct"/>
          </w:tcPr>
          <w:p w14:paraId="75BF5DCD" w14:textId="77777777" w:rsidR="00775AAD" w:rsidRPr="005611DA" w:rsidRDefault="00775AAD">
            <w:pPr>
              <w:spacing w:after="200"/>
              <w:rPr>
                <w:sz w:val="20"/>
                <w:szCs w:val="20"/>
              </w:rPr>
            </w:pPr>
            <w:r w:rsidRPr="005611DA">
              <w:rPr>
                <w:sz w:val="20"/>
                <w:szCs w:val="20"/>
              </w:rPr>
              <w:t>The efficiency of the payment system to providers, strategic purchase of services, and tariffs are also important issues in this dimension. </w:t>
            </w:r>
          </w:p>
        </w:tc>
        <w:tc>
          <w:tcPr>
            <w:tcW w:w="1577" w:type="pct"/>
          </w:tcPr>
          <w:p w14:paraId="497E6BB9" w14:textId="77777777" w:rsidR="00775AAD" w:rsidRPr="005611DA" w:rsidRDefault="00775AAD">
            <w:pPr>
              <w:spacing w:after="200"/>
              <w:rPr>
                <w:rFonts w:eastAsia="Calibri"/>
                <w:sz w:val="20"/>
                <w:szCs w:val="20"/>
              </w:rPr>
            </w:pPr>
            <w:r w:rsidRPr="005611DA">
              <w:rPr>
                <w:rFonts w:eastAsia="Calibri"/>
                <w:sz w:val="20"/>
                <w:szCs w:val="20"/>
              </w:rPr>
              <w:t>Patient Systems Economic Factors</w:t>
            </w:r>
          </w:p>
          <w:p w14:paraId="11F76191" w14:textId="77777777" w:rsidR="00775AAD" w:rsidRPr="005611DA" w:rsidRDefault="00775AAD">
            <w:pPr>
              <w:spacing w:after="200"/>
              <w:rPr>
                <w:rFonts w:eastAsia="Calibri"/>
                <w:sz w:val="20"/>
                <w:szCs w:val="20"/>
              </w:rPr>
            </w:pPr>
          </w:p>
        </w:tc>
      </w:tr>
      <w:tr w:rsidR="00675E11" w:rsidRPr="005611DA" w14:paraId="1FF5A14F" w14:textId="77777777">
        <w:tc>
          <w:tcPr>
            <w:tcW w:w="1582" w:type="pct"/>
          </w:tcPr>
          <w:p w14:paraId="3B6AE93A" w14:textId="41BE9B80" w:rsidR="00775AAD" w:rsidRPr="008F02C4" w:rsidRDefault="00775AAD" w:rsidP="00663710">
            <w:pPr>
              <w:spacing w:after="200"/>
              <w:ind w:hanging="2"/>
              <w:rPr>
                <w:sz w:val="20"/>
                <w:szCs w:val="20"/>
                <w:lang w:val="fr-FR"/>
              </w:rPr>
            </w:pPr>
            <w:r w:rsidRPr="008F02C4">
              <w:rPr>
                <w:sz w:val="20"/>
                <w:szCs w:val="20"/>
                <w:lang w:val="fr-FR"/>
              </w:rPr>
              <w:t xml:space="preserve">Faisal, S., Ivo, J., Tennant, R., Prior, K. A., Grindrod, K., McMillan, C., &amp; Patel, T. (2021). </w:t>
            </w:r>
          </w:p>
        </w:tc>
        <w:tc>
          <w:tcPr>
            <w:tcW w:w="1841" w:type="pct"/>
          </w:tcPr>
          <w:p w14:paraId="0F822952" w14:textId="77777777" w:rsidR="00775AAD" w:rsidRPr="005611DA" w:rsidRDefault="00775AAD">
            <w:pPr>
              <w:spacing w:after="200"/>
              <w:rPr>
                <w:sz w:val="20"/>
                <w:szCs w:val="20"/>
              </w:rPr>
            </w:pPr>
            <w:r w:rsidRPr="005611DA">
              <w:rPr>
                <w:sz w:val="20"/>
                <w:szCs w:val="20"/>
              </w:rPr>
              <w:t>It is recommended that older adults use technology to improve their medication adherence.</w:t>
            </w:r>
          </w:p>
        </w:tc>
        <w:tc>
          <w:tcPr>
            <w:tcW w:w="1577" w:type="pct"/>
          </w:tcPr>
          <w:p w14:paraId="040DC971" w14:textId="48605996" w:rsidR="00775AAD" w:rsidRPr="005611DA" w:rsidRDefault="00775AAD" w:rsidP="00663710">
            <w:pPr>
              <w:spacing w:after="200"/>
              <w:rPr>
                <w:rFonts w:eastAsia="Calibri"/>
                <w:sz w:val="20"/>
                <w:szCs w:val="20"/>
              </w:rPr>
            </w:pPr>
            <w:r w:rsidRPr="005611DA">
              <w:rPr>
                <w:sz w:val="20"/>
                <w:szCs w:val="20"/>
              </w:rPr>
              <w:t>Smart Assistive Technology helps seniors manage medication.</w:t>
            </w:r>
          </w:p>
        </w:tc>
      </w:tr>
      <w:tr w:rsidR="00675E11" w:rsidRPr="005611DA" w14:paraId="06697FC1" w14:textId="77777777">
        <w:tc>
          <w:tcPr>
            <w:tcW w:w="1582" w:type="pct"/>
          </w:tcPr>
          <w:p w14:paraId="2A486BF2" w14:textId="3359B266" w:rsidR="00775AAD" w:rsidRPr="005611DA" w:rsidRDefault="00775AAD" w:rsidP="00663710">
            <w:pPr>
              <w:spacing w:after="200"/>
              <w:ind w:hanging="2"/>
              <w:rPr>
                <w:sz w:val="20"/>
                <w:szCs w:val="20"/>
              </w:rPr>
            </w:pPr>
            <w:r w:rsidRPr="005611DA">
              <w:rPr>
                <w:sz w:val="20"/>
                <w:szCs w:val="20"/>
              </w:rPr>
              <w:t xml:space="preserve">Friedberg, R. D., Neelley, M., Zucker, J., Hanna, A., Mendelsohn, A., Greenberger, A., &amp; Dunevich, N. (2024). </w:t>
            </w:r>
          </w:p>
        </w:tc>
        <w:tc>
          <w:tcPr>
            <w:tcW w:w="1841" w:type="pct"/>
          </w:tcPr>
          <w:p w14:paraId="3761F868" w14:textId="77777777" w:rsidR="00775AAD" w:rsidRPr="005611DA" w:rsidRDefault="00775AAD">
            <w:pPr>
              <w:spacing w:after="200"/>
              <w:rPr>
                <w:sz w:val="20"/>
                <w:szCs w:val="20"/>
              </w:rPr>
            </w:pPr>
            <w:r w:rsidRPr="005611DA">
              <w:rPr>
                <w:sz w:val="20"/>
                <w:szCs w:val="20"/>
              </w:rPr>
              <w:t>Dismantling studies that identify the most active intervention ingredients that produce gains in adherence are needed.</w:t>
            </w:r>
          </w:p>
        </w:tc>
        <w:tc>
          <w:tcPr>
            <w:tcW w:w="1577" w:type="pct"/>
          </w:tcPr>
          <w:p w14:paraId="44839149" w14:textId="77777777" w:rsidR="00775AAD" w:rsidRPr="005611DA" w:rsidRDefault="00775AAD">
            <w:pPr>
              <w:spacing w:after="200"/>
              <w:rPr>
                <w:sz w:val="20"/>
                <w:szCs w:val="20"/>
              </w:rPr>
            </w:pPr>
            <w:r w:rsidRPr="005611DA">
              <w:rPr>
                <w:sz w:val="20"/>
                <w:szCs w:val="20"/>
              </w:rPr>
              <w:t>Intervention Success Factors and Barriers</w:t>
            </w:r>
          </w:p>
        </w:tc>
      </w:tr>
      <w:tr w:rsidR="00675E11" w:rsidRPr="005611DA" w14:paraId="28FD617A" w14:textId="77777777">
        <w:tc>
          <w:tcPr>
            <w:tcW w:w="1582" w:type="pct"/>
          </w:tcPr>
          <w:p w14:paraId="543483DD" w14:textId="131DC3E8" w:rsidR="00775AAD" w:rsidRPr="005611DA" w:rsidRDefault="00775AAD" w:rsidP="00663710">
            <w:pPr>
              <w:spacing w:after="200"/>
              <w:ind w:hanging="2"/>
              <w:rPr>
                <w:sz w:val="20"/>
                <w:szCs w:val="20"/>
              </w:rPr>
            </w:pPr>
            <w:r w:rsidRPr="005611DA">
              <w:rPr>
                <w:sz w:val="20"/>
                <w:szCs w:val="20"/>
              </w:rPr>
              <w:t xml:space="preserve">Fusco, N., Sils, B., Graff, J. S., Kistler, K., &amp; Ruiz, K. (2023). </w:t>
            </w:r>
          </w:p>
        </w:tc>
        <w:tc>
          <w:tcPr>
            <w:tcW w:w="1841" w:type="pct"/>
          </w:tcPr>
          <w:p w14:paraId="7DB3871A" w14:textId="77777777" w:rsidR="00775AAD" w:rsidRPr="005611DA" w:rsidRDefault="00775AAD">
            <w:pPr>
              <w:spacing w:after="200"/>
              <w:rPr>
                <w:sz w:val="20"/>
                <w:szCs w:val="20"/>
              </w:rPr>
            </w:pPr>
            <w:r w:rsidRPr="005611DA">
              <w:rPr>
                <w:sz w:val="20"/>
                <w:szCs w:val="20"/>
              </w:rPr>
              <w:t xml:space="preserve">The published literature consistently shows a negative impact of higher cost-sharing on medication initiation and continuation, with greater cost-sharing associated with poorer medication adherence. </w:t>
            </w:r>
          </w:p>
        </w:tc>
        <w:tc>
          <w:tcPr>
            <w:tcW w:w="1577" w:type="pct"/>
          </w:tcPr>
          <w:p w14:paraId="6B52FE22" w14:textId="77777777" w:rsidR="00775AAD" w:rsidRPr="005611DA" w:rsidRDefault="00775AAD">
            <w:pPr>
              <w:spacing w:after="200"/>
              <w:rPr>
                <w:rFonts w:eastAsia="Calibri"/>
                <w:sz w:val="20"/>
                <w:szCs w:val="20"/>
              </w:rPr>
            </w:pPr>
            <w:r w:rsidRPr="005611DA">
              <w:rPr>
                <w:rFonts w:eastAsia="Calibri"/>
                <w:sz w:val="20"/>
                <w:szCs w:val="20"/>
              </w:rPr>
              <w:t>Cost-sharing and Medication Nonadherence-related Factors.</w:t>
            </w:r>
          </w:p>
          <w:p w14:paraId="69EC4AC5" w14:textId="77777777" w:rsidR="00775AAD" w:rsidRPr="005611DA" w:rsidRDefault="00775AAD">
            <w:pPr>
              <w:spacing w:after="200"/>
              <w:rPr>
                <w:sz w:val="20"/>
                <w:szCs w:val="20"/>
              </w:rPr>
            </w:pPr>
          </w:p>
        </w:tc>
      </w:tr>
      <w:tr w:rsidR="00675E11" w:rsidRPr="005611DA" w14:paraId="136C2D83" w14:textId="77777777">
        <w:tc>
          <w:tcPr>
            <w:tcW w:w="1582" w:type="pct"/>
          </w:tcPr>
          <w:p w14:paraId="3047B8BC" w14:textId="77F14E61" w:rsidR="00775AAD" w:rsidRPr="005611DA" w:rsidRDefault="00775AAD" w:rsidP="00663710">
            <w:pPr>
              <w:spacing w:after="200"/>
              <w:ind w:hanging="2"/>
              <w:rPr>
                <w:sz w:val="20"/>
                <w:szCs w:val="20"/>
              </w:rPr>
            </w:pPr>
            <w:r w:rsidRPr="005611DA">
              <w:rPr>
                <w:sz w:val="20"/>
                <w:szCs w:val="20"/>
              </w:rPr>
              <w:t xml:space="preserve">Gentili, A., Failla, G., Melnyk, A., Puleo, V., Tanna, G. L. D., Ricciardi, W., &amp; Cascini, F. (2022). </w:t>
            </w:r>
          </w:p>
        </w:tc>
        <w:tc>
          <w:tcPr>
            <w:tcW w:w="1841" w:type="pct"/>
          </w:tcPr>
          <w:p w14:paraId="4A86D96A" w14:textId="77777777" w:rsidR="00775AAD" w:rsidRPr="005611DA" w:rsidRDefault="00775AAD">
            <w:pPr>
              <w:spacing w:after="200"/>
              <w:rPr>
                <w:sz w:val="20"/>
                <w:szCs w:val="20"/>
              </w:rPr>
            </w:pPr>
            <w:r w:rsidRPr="005611DA">
              <w:rPr>
                <w:sz w:val="20"/>
                <w:szCs w:val="20"/>
              </w:rPr>
              <w:t>Findings on the cost-effectiveness of digital interventions have grown, suggesting a generally favorable effect on both costs and health outcomes.</w:t>
            </w:r>
          </w:p>
        </w:tc>
        <w:tc>
          <w:tcPr>
            <w:tcW w:w="1577" w:type="pct"/>
          </w:tcPr>
          <w:p w14:paraId="324F9E89" w14:textId="77777777" w:rsidR="00775AAD" w:rsidRPr="005611DA" w:rsidRDefault="00775AAD">
            <w:pPr>
              <w:spacing w:after="200"/>
              <w:rPr>
                <w:sz w:val="20"/>
                <w:szCs w:val="20"/>
              </w:rPr>
            </w:pPr>
            <w:r w:rsidRPr="005611DA">
              <w:rPr>
                <w:sz w:val="20"/>
                <w:szCs w:val="20"/>
              </w:rPr>
              <w:t>Cost-effective Digital Interventions</w:t>
            </w:r>
          </w:p>
          <w:p w14:paraId="3381BE3E" w14:textId="77777777" w:rsidR="00775AAD" w:rsidRPr="005611DA" w:rsidRDefault="00775AAD">
            <w:pPr>
              <w:spacing w:after="200"/>
              <w:rPr>
                <w:sz w:val="20"/>
                <w:szCs w:val="20"/>
              </w:rPr>
            </w:pPr>
          </w:p>
        </w:tc>
      </w:tr>
      <w:tr w:rsidR="00675E11" w:rsidRPr="005611DA" w14:paraId="20141599" w14:textId="77777777">
        <w:tc>
          <w:tcPr>
            <w:tcW w:w="1582" w:type="pct"/>
          </w:tcPr>
          <w:p w14:paraId="74F8D84C" w14:textId="7F58DACB" w:rsidR="00775AAD" w:rsidRPr="008F02C4" w:rsidRDefault="00775AAD" w:rsidP="00663710">
            <w:pPr>
              <w:spacing w:after="200"/>
              <w:ind w:hanging="2"/>
              <w:rPr>
                <w:sz w:val="20"/>
                <w:szCs w:val="20"/>
                <w:lang w:val="es-ES"/>
              </w:rPr>
            </w:pPr>
            <w:r w:rsidRPr="008F02C4">
              <w:rPr>
                <w:sz w:val="20"/>
                <w:szCs w:val="20"/>
                <w:lang w:val="es-ES"/>
              </w:rPr>
              <w:t xml:space="preserve">Gil-Guillén, V. F., Balsa, A., Bernárdez, B., Valdés y Llorca, C., Márquez-Contreras, E., de la Haba-Rodríguez, J., Castellano, J. M., &amp; Gómez-Martínez, J. (2022). </w:t>
            </w:r>
          </w:p>
        </w:tc>
        <w:tc>
          <w:tcPr>
            <w:tcW w:w="1841" w:type="pct"/>
          </w:tcPr>
          <w:p w14:paraId="098EDFF0" w14:textId="77777777" w:rsidR="00775AAD" w:rsidRPr="005611DA" w:rsidRDefault="00775AAD">
            <w:pPr>
              <w:spacing w:after="200"/>
              <w:rPr>
                <w:sz w:val="20"/>
                <w:szCs w:val="20"/>
              </w:rPr>
            </w:pPr>
            <w:r w:rsidRPr="005611DA">
              <w:rPr>
                <w:sz w:val="20"/>
                <w:szCs w:val="20"/>
              </w:rPr>
              <w:t>The objective of this project was to identify risk factors for non-adherence in rheumatology, oncology, and cardiology, and to examine potential interventions to improve adherence and their association with these risk factors. The project was developed in three phases and carried out by a Steering Committee comprising experts in rheumatology, oncology, cardiology, general medicine, and hospital and community pharmacy.</w:t>
            </w:r>
          </w:p>
        </w:tc>
        <w:tc>
          <w:tcPr>
            <w:tcW w:w="1577" w:type="pct"/>
          </w:tcPr>
          <w:p w14:paraId="109E32EB" w14:textId="0ECE8BD2" w:rsidR="00775AAD" w:rsidRPr="005611DA" w:rsidRDefault="00775AAD" w:rsidP="00663710">
            <w:pPr>
              <w:spacing w:after="200"/>
              <w:rPr>
                <w:sz w:val="20"/>
                <w:szCs w:val="20"/>
              </w:rPr>
            </w:pPr>
            <w:r w:rsidRPr="005611DA">
              <w:rPr>
                <w:sz w:val="20"/>
                <w:szCs w:val="20"/>
              </w:rPr>
              <w:t>Screening Tools Risk Factors Improve Medication Adherence.</w:t>
            </w:r>
          </w:p>
        </w:tc>
      </w:tr>
      <w:tr w:rsidR="00675E11" w:rsidRPr="005611DA" w14:paraId="67C4FAB4" w14:textId="77777777">
        <w:tc>
          <w:tcPr>
            <w:tcW w:w="1582" w:type="pct"/>
          </w:tcPr>
          <w:p w14:paraId="3D8D5936" w14:textId="77777777" w:rsidR="00775AAD" w:rsidRPr="005611DA" w:rsidRDefault="00775AAD">
            <w:pPr>
              <w:spacing w:after="200"/>
              <w:ind w:hanging="2"/>
              <w:rPr>
                <w:sz w:val="20"/>
                <w:szCs w:val="20"/>
              </w:rPr>
            </w:pPr>
            <w:r w:rsidRPr="005611DA">
              <w:rPr>
                <w:sz w:val="20"/>
                <w:szCs w:val="20"/>
              </w:rPr>
              <w:lastRenderedPageBreak/>
              <w:t>Glasgow, R. E., Knoepke, C. E., Magid, D., Grunwald, G. K., Glorioso, T. J., Waughtal, J., Marrs, J.C., Bull, S., &amp; Ho, P. M. (2021).</w:t>
            </w:r>
          </w:p>
        </w:tc>
        <w:tc>
          <w:tcPr>
            <w:tcW w:w="1841" w:type="pct"/>
          </w:tcPr>
          <w:p w14:paraId="72A44328" w14:textId="77777777" w:rsidR="00775AAD" w:rsidRPr="005611DA" w:rsidRDefault="00775AAD">
            <w:pPr>
              <w:pStyle w:val="p1"/>
              <w:spacing w:after="200" w:line="240" w:lineRule="auto"/>
              <w:rPr>
                <w:rFonts w:ascii="Times New Roman" w:hAnsi="Times New Roman" w:cs="Times New Roman"/>
                <w:sz w:val="20"/>
                <w:szCs w:val="20"/>
              </w:rPr>
            </w:pPr>
            <w:r w:rsidRPr="005611DA">
              <w:rPr>
                <w:rFonts w:ascii="Times New Roman" w:hAnsi="Times New Roman" w:cs="Times New Roman"/>
                <w:sz w:val="20"/>
                <w:szCs w:val="20"/>
              </w:rPr>
              <w:t>The primary effectiveness outcome is medication adherence, defined as the proportion of days covered (PDC) based on pharmacy refill data. Implementation outcomes are assessed using the RE-AIM framework, with particular focus on reach, implementation consistency, adaptations, cost, and maintenance/sustainability.</w:t>
            </w:r>
          </w:p>
        </w:tc>
        <w:tc>
          <w:tcPr>
            <w:tcW w:w="1577" w:type="pct"/>
          </w:tcPr>
          <w:p w14:paraId="22B14DDE" w14:textId="77777777" w:rsidR="00775AAD" w:rsidRPr="005611DA" w:rsidRDefault="00775AAD">
            <w:pPr>
              <w:spacing w:after="200"/>
              <w:rPr>
                <w:sz w:val="20"/>
                <w:szCs w:val="20"/>
              </w:rPr>
            </w:pPr>
            <w:r w:rsidRPr="005611DA">
              <w:rPr>
                <w:sz w:val="20"/>
                <w:szCs w:val="20"/>
              </w:rPr>
              <w:t>Healthcare Organizations Utilize and Implement Feasible Interventions</w:t>
            </w:r>
          </w:p>
          <w:p w14:paraId="07050CB4" w14:textId="77777777" w:rsidR="00775AAD" w:rsidRPr="005611DA" w:rsidRDefault="00775AAD">
            <w:pPr>
              <w:spacing w:after="200"/>
              <w:rPr>
                <w:sz w:val="20"/>
                <w:szCs w:val="20"/>
              </w:rPr>
            </w:pPr>
          </w:p>
        </w:tc>
      </w:tr>
      <w:tr w:rsidR="00675E11" w:rsidRPr="005611DA" w14:paraId="12ACCD37" w14:textId="77777777">
        <w:tc>
          <w:tcPr>
            <w:tcW w:w="1582" w:type="pct"/>
          </w:tcPr>
          <w:p w14:paraId="0AD2B6C4" w14:textId="77777777" w:rsidR="00775AAD" w:rsidRPr="005611DA" w:rsidRDefault="00775AAD">
            <w:pPr>
              <w:spacing w:after="200"/>
              <w:rPr>
                <w:sz w:val="20"/>
                <w:szCs w:val="20"/>
              </w:rPr>
            </w:pPr>
            <w:r w:rsidRPr="005611DA">
              <w:rPr>
                <w:sz w:val="20"/>
                <w:szCs w:val="20"/>
              </w:rPr>
              <w:t>Gohil, S., Majd, Z., Sheneman, J. C., &amp; Abughosh, S. M. (2022).</w:t>
            </w:r>
          </w:p>
        </w:tc>
        <w:tc>
          <w:tcPr>
            <w:tcW w:w="1841" w:type="pct"/>
          </w:tcPr>
          <w:p w14:paraId="50BA3BD8" w14:textId="77777777" w:rsidR="00775AAD" w:rsidRPr="005611DA" w:rsidRDefault="00775AAD">
            <w:pPr>
              <w:spacing w:after="200"/>
              <w:rPr>
                <w:sz w:val="20"/>
                <w:szCs w:val="20"/>
              </w:rPr>
            </w:pPr>
            <w:r w:rsidRPr="005611DA">
              <w:rPr>
                <w:sz w:val="20"/>
                <w:szCs w:val="20"/>
              </w:rPr>
              <w:t>There is literature on numerous interventions with different approaches to enhance medication adherence among patients with IBD.</w:t>
            </w:r>
          </w:p>
        </w:tc>
        <w:tc>
          <w:tcPr>
            <w:tcW w:w="1577" w:type="pct"/>
          </w:tcPr>
          <w:p w14:paraId="1396A19E" w14:textId="77777777" w:rsidR="00775AAD" w:rsidRPr="005611DA" w:rsidRDefault="00775AAD">
            <w:pPr>
              <w:spacing w:after="200"/>
              <w:rPr>
                <w:sz w:val="20"/>
                <w:szCs w:val="20"/>
              </w:rPr>
            </w:pPr>
            <w:r w:rsidRPr="005611DA">
              <w:rPr>
                <w:sz w:val="20"/>
                <w:szCs w:val="20"/>
              </w:rPr>
              <w:t>Intervention Differentiation Strategies</w:t>
            </w:r>
          </w:p>
          <w:p w14:paraId="14C2DD34" w14:textId="77777777" w:rsidR="00775AAD" w:rsidRPr="005611DA" w:rsidRDefault="00775AAD">
            <w:pPr>
              <w:spacing w:after="200"/>
              <w:rPr>
                <w:sz w:val="20"/>
                <w:szCs w:val="20"/>
              </w:rPr>
            </w:pPr>
          </w:p>
        </w:tc>
      </w:tr>
      <w:tr w:rsidR="00675E11" w:rsidRPr="005611DA" w14:paraId="535B8339" w14:textId="77777777">
        <w:tc>
          <w:tcPr>
            <w:tcW w:w="1582" w:type="pct"/>
          </w:tcPr>
          <w:p w14:paraId="0A4968BD" w14:textId="77777777" w:rsidR="00775AAD" w:rsidRPr="008F02C4" w:rsidRDefault="00775AAD">
            <w:pPr>
              <w:spacing w:after="200"/>
              <w:rPr>
                <w:sz w:val="20"/>
                <w:szCs w:val="20"/>
                <w:lang w:val="es-ES"/>
              </w:rPr>
            </w:pPr>
            <w:r w:rsidRPr="008F02C4">
              <w:rPr>
                <w:sz w:val="20"/>
                <w:szCs w:val="20"/>
                <w:lang w:val="es-ES"/>
              </w:rPr>
              <w:t>González de León, B., del Pino-Sedeno, T., Serrano-Pérez, P., Rodríguez Álvarez, C., Bejarano-Quisoboni, D., &amp; Trujillo-Martin, M. M. (2022).</w:t>
            </w:r>
          </w:p>
        </w:tc>
        <w:tc>
          <w:tcPr>
            <w:tcW w:w="1841" w:type="pct"/>
          </w:tcPr>
          <w:p w14:paraId="3D43BF27" w14:textId="77777777" w:rsidR="00775AAD" w:rsidRPr="005611DA" w:rsidRDefault="00775AAD">
            <w:pPr>
              <w:spacing w:after="200"/>
              <w:rPr>
                <w:sz w:val="20"/>
                <w:szCs w:val="20"/>
              </w:rPr>
            </w:pPr>
            <w:r w:rsidRPr="005611DA">
              <w:rPr>
                <w:sz w:val="20"/>
                <w:szCs w:val="20"/>
              </w:rPr>
              <w:t>Our findings indicate that interventions aimed at improving adherence to medication among adults with depressive disorders are effective for up to six months. However, the evidence on the effectiveness of long-term adherence is insufficient, underscoring the need for further research.</w:t>
            </w:r>
          </w:p>
        </w:tc>
        <w:tc>
          <w:tcPr>
            <w:tcW w:w="1577" w:type="pct"/>
          </w:tcPr>
          <w:p w14:paraId="6B090040" w14:textId="77777777" w:rsidR="00775AAD" w:rsidRPr="005611DA" w:rsidRDefault="00775AAD">
            <w:pPr>
              <w:spacing w:after="200"/>
              <w:rPr>
                <w:sz w:val="20"/>
                <w:szCs w:val="20"/>
              </w:rPr>
            </w:pPr>
            <w:r w:rsidRPr="005611DA">
              <w:rPr>
                <w:sz w:val="20"/>
                <w:szCs w:val="20"/>
              </w:rPr>
              <w:t>Medication Nonadherence Improves Depressive Disorders.</w:t>
            </w:r>
          </w:p>
        </w:tc>
      </w:tr>
      <w:tr w:rsidR="00675E11" w:rsidRPr="005611DA" w14:paraId="1633CAFA" w14:textId="77777777">
        <w:tc>
          <w:tcPr>
            <w:tcW w:w="1582" w:type="pct"/>
          </w:tcPr>
          <w:p w14:paraId="78C5F1CD" w14:textId="77777777" w:rsidR="00775AAD" w:rsidRPr="005611DA" w:rsidRDefault="00775AAD">
            <w:pPr>
              <w:spacing w:after="200"/>
              <w:rPr>
                <w:sz w:val="20"/>
                <w:szCs w:val="20"/>
              </w:rPr>
            </w:pPr>
            <w:r w:rsidRPr="005611DA">
              <w:rPr>
                <w:sz w:val="20"/>
                <w:szCs w:val="20"/>
              </w:rPr>
              <w:t>Gunter, Z., Lawson, N., &amp; Bondarenka, C. (2022).</w:t>
            </w:r>
          </w:p>
        </w:tc>
        <w:tc>
          <w:tcPr>
            <w:tcW w:w="1841" w:type="pct"/>
          </w:tcPr>
          <w:p w14:paraId="5CDA4C58" w14:textId="77777777" w:rsidR="00775AAD" w:rsidRPr="005611DA" w:rsidRDefault="00775AAD">
            <w:pPr>
              <w:spacing w:after="200"/>
              <w:rPr>
                <w:sz w:val="20"/>
                <w:szCs w:val="20"/>
              </w:rPr>
            </w:pPr>
            <w:r w:rsidRPr="005611DA">
              <w:rPr>
                <w:sz w:val="20"/>
                <w:szCs w:val="20"/>
              </w:rPr>
              <w:t> During the preimplementation period, 40,021 injectable doses were dispensed, of which 9841 (24.6%) were documented as redispensed. Following the implementation of dose tracking, a total of 42,975 injectable doses were dispensed, of which 9,839 (22.9%) were redispensed. The count of medication messages was 10,661 in the pre-period and 11,475 in the post-period. The data were normalized using the case mix index (CMI) and patient days to account for variation in severity of illness.</w:t>
            </w:r>
          </w:p>
        </w:tc>
        <w:tc>
          <w:tcPr>
            <w:tcW w:w="1577" w:type="pct"/>
          </w:tcPr>
          <w:p w14:paraId="3DAFA403" w14:textId="77777777" w:rsidR="00775AAD" w:rsidRPr="005611DA" w:rsidRDefault="00775AAD">
            <w:pPr>
              <w:spacing w:after="200"/>
              <w:rPr>
                <w:sz w:val="20"/>
                <w:szCs w:val="20"/>
              </w:rPr>
            </w:pPr>
            <w:r w:rsidRPr="005611DA">
              <w:rPr>
                <w:sz w:val="20"/>
                <w:szCs w:val="20"/>
              </w:rPr>
              <w:t>Dose Tracking Software tracks Medication Adherence.</w:t>
            </w:r>
          </w:p>
        </w:tc>
      </w:tr>
      <w:tr w:rsidR="00675E11" w:rsidRPr="005611DA" w14:paraId="14BC2BB0" w14:textId="77777777">
        <w:tc>
          <w:tcPr>
            <w:tcW w:w="1582" w:type="pct"/>
          </w:tcPr>
          <w:p w14:paraId="228B724F" w14:textId="77777777" w:rsidR="00775AAD" w:rsidRPr="005611DA" w:rsidRDefault="00775AAD">
            <w:pPr>
              <w:spacing w:after="200"/>
              <w:rPr>
                <w:sz w:val="20"/>
                <w:szCs w:val="20"/>
              </w:rPr>
            </w:pPr>
            <w:r w:rsidRPr="005611DA">
              <w:rPr>
                <w:sz w:val="20"/>
                <w:szCs w:val="20"/>
              </w:rPr>
              <w:t>Hamad, M. M. E., &amp; Bah, S. (2022).</w:t>
            </w:r>
          </w:p>
        </w:tc>
        <w:tc>
          <w:tcPr>
            <w:tcW w:w="1841" w:type="pct"/>
          </w:tcPr>
          <w:p w14:paraId="5AAD0867" w14:textId="77777777" w:rsidR="00775AAD" w:rsidRPr="005611DA" w:rsidRDefault="00775AAD">
            <w:pPr>
              <w:spacing w:after="200"/>
              <w:rPr>
                <w:sz w:val="20"/>
                <w:szCs w:val="20"/>
              </w:rPr>
            </w:pPr>
            <w:r w:rsidRPr="005611DA">
              <w:rPr>
                <w:sz w:val="20"/>
                <w:szCs w:val="20"/>
              </w:rPr>
              <w:t xml:space="preserve">Contrary to expectations, this study found that an HIMSS Stage 6 hospital could experience an increase in medication errors after implementing EHRs. Qualitative analysis revealed that the increase in </w:t>
            </w:r>
            <w:r w:rsidRPr="005611DA">
              <w:rPr>
                <w:sz w:val="20"/>
                <w:szCs w:val="20"/>
              </w:rPr>
              <w:lastRenderedPageBreak/>
              <w:t>medication error reporting rates could be attributed to improved detection following enhancements to the medication management process. This has implications for interpreting quality metrics as hospitals mature in terms of their EHR implementation.</w:t>
            </w:r>
          </w:p>
        </w:tc>
        <w:tc>
          <w:tcPr>
            <w:tcW w:w="1577" w:type="pct"/>
          </w:tcPr>
          <w:p w14:paraId="3B28511A" w14:textId="77777777" w:rsidR="00775AAD" w:rsidRPr="005611DA" w:rsidRDefault="00775AAD">
            <w:pPr>
              <w:spacing w:after="200"/>
              <w:rPr>
                <w:rFonts w:eastAsia="Calibri"/>
                <w:sz w:val="20"/>
                <w:szCs w:val="20"/>
              </w:rPr>
            </w:pPr>
            <w:r w:rsidRPr="005611DA">
              <w:rPr>
                <w:sz w:val="20"/>
                <w:szCs w:val="20"/>
              </w:rPr>
              <w:lastRenderedPageBreak/>
              <w:t>EHR Systems Implementation help reduce Medication Errors</w:t>
            </w:r>
          </w:p>
        </w:tc>
      </w:tr>
      <w:tr w:rsidR="00675E11" w:rsidRPr="005611DA" w14:paraId="145F1A59" w14:textId="77777777">
        <w:tc>
          <w:tcPr>
            <w:tcW w:w="1582" w:type="pct"/>
          </w:tcPr>
          <w:p w14:paraId="11E4BF3B" w14:textId="77777777" w:rsidR="00775AAD" w:rsidRPr="005611DA" w:rsidRDefault="00775AAD">
            <w:pPr>
              <w:spacing w:after="200"/>
              <w:rPr>
                <w:sz w:val="20"/>
                <w:szCs w:val="20"/>
              </w:rPr>
            </w:pPr>
            <w:r w:rsidRPr="005611DA">
              <w:rPr>
                <w:sz w:val="20"/>
                <w:szCs w:val="20"/>
              </w:rPr>
              <w:t>Herrick, C. J., Humble, S., Hollar, L., Chang, S. H., Hunleth, J., McQueen, A., &amp; James, A. S. (2021).</w:t>
            </w:r>
          </w:p>
        </w:tc>
        <w:tc>
          <w:tcPr>
            <w:tcW w:w="1841" w:type="pct"/>
          </w:tcPr>
          <w:p w14:paraId="0F88E811" w14:textId="77777777" w:rsidR="00775AAD" w:rsidRPr="005611DA" w:rsidRDefault="00775AAD">
            <w:pPr>
              <w:spacing w:after="200"/>
              <w:rPr>
                <w:sz w:val="20"/>
                <w:szCs w:val="20"/>
              </w:rPr>
            </w:pPr>
            <w:r w:rsidRPr="005611DA">
              <w:rPr>
                <w:sz w:val="20"/>
                <w:szCs w:val="20"/>
              </w:rPr>
              <w:t>To our knowledge, this is the first report of cost-coping and cost-conversation strategies among individuals with multiple chronic conditions, comparing participants with and without diabetes. Most strikingly, while individuals with diabetes were more likely to have private insurance or Medicare, they were still more likely to report spending less on basic needs to pay for medications</w:t>
            </w:r>
          </w:p>
        </w:tc>
        <w:tc>
          <w:tcPr>
            <w:tcW w:w="1577" w:type="pct"/>
          </w:tcPr>
          <w:p w14:paraId="123B9F68" w14:textId="77777777" w:rsidR="00775AAD" w:rsidRPr="005611DA" w:rsidRDefault="00775AAD">
            <w:pPr>
              <w:spacing w:after="200"/>
              <w:rPr>
                <w:sz w:val="20"/>
                <w:szCs w:val="20"/>
              </w:rPr>
            </w:pPr>
            <w:r w:rsidRPr="005611DA">
              <w:rPr>
                <w:sz w:val="20"/>
                <w:szCs w:val="20"/>
              </w:rPr>
              <w:t xml:space="preserve">Tailored Coping and Cost-savings Strategies </w:t>
            </w:r>
          </w:p>
        </w:tc>
      </w:tr>
      <w:tr w:rsidR="00675E11" w:rsidRPr="005611DA" w14:paraId="373A07F4" w14:textId="77777777">
        <w:tc>
          <w:tcPr>
            <w:tcW w:w="1582" w:type="pct"/>
          </w:tcPr>
          <w:p w14:paraId="1F827956" w14:textId="77777777" w:rsidR="00775AAD" w:rsidRPr="005611DA" w:rsidRDefault="00775AAD">
            <w:pPr>
              <w:spacing w:after="200"/>
              <w:rPr>
                <w:sz w:val="20"/>
                <w:szCs w:val="20"/>
              </w:rPr>
            </w:pPr>
            <w:r w:rsidRPr="005611DA">
              <w:rPr>
                <w:sz w:val="20"/>
                <w:szCs w:val="20"/>
              </w:rPr>
              <w:t>Imeri, H., Toth, J., Arnold, A., &amp; Barnard, M. (2022).</w:t>
            </w:r>
          </w:p>
        </w:tc>
        <w:tc>
          <w:tcPr>
            <w:tcW w:w="1841" w:type="pct"/>
          </w:tcPr>
          <w:p w14:paraId="6B75AA23" w14:textId="77777777" w:rsidR="00775AAD" w:rsidRPr="005611DA" w:rsidRDefault="00775AAD">
            <w:pPr>
              <w:spacing w:after="200"/>
              <w:rPr>
                <w:sz w:val="20"/>
                <w:szCs w:val="20"/>
              </w:rPr>
            </w:pPr>
            <w:r w:rsidRPr="005611DA">
              <w:rPr>
                <w:sz w:val="20"/>
                <w:szCs w:val="20"/>
              </w:rPr>
              <w:t>This systematic review provides an overview of the utility of TTM in predicting and improving medication adherence in patients with chronic conditions. Although TTM-based interventions in patients with low or moderate medication adherence were effective, there were few studies identified, suggesting the need for further research</w:t>
            </w:r>
          </w:p>
        </w:tc>
        <w:tc>
          <w:tcPr>
            <w:tcW w:w="1577" w:type="pct"/>
          </w:tcPr>
          <w:p w14:paraId="1C0CEF03" w14:textId="77777777" w:rsidR="00775AAD" w:rsidRPr="005611DA" w:rsidRDefault="00775AAD">
            <w:pPr>
              <w:spacing w:after="200"/>
              <w:rPr>
                <w:sz w:val="20"/>
                <w:szCs w:val="20"/>
              </w:rPr>
            </w:pPr>
            <w:r w:rsidRPr="005611DA">
              <w:rPr>
                <w:sz w:val="20"/>
                <w:szCs w:val="20"/>
              </w:rPr>
              <w:t>Trans-Theoretical Model of Change for Medication Adherence Upgrades.</w:t>
            </w:r>
          </w:p>
        </w:tc>
      </w:tr>
      <w:tr w:rsidR="00675E11" w:rsidRPr="005611DA" w14:paraId="1553EBED" w14:textId="77777777">
        <w:tc>
          <w:tcPr>
            <w:tcW w:w="1582" w:type="pct"/>
          </w:tcPr>
          <w:p w14:paraId="484FE884" w14:textId="77777777" w:rsidR="00775AAD" w:rsidRPr="005611DA" w:rsidRDefault="00775AAD">
            <w:pPr>
              <w:spacing w:after="200"/>
              <w:rPr>
                <w:sz w:val="20"/>
                <w:szCs w:val="20"/>
              </w:rPr>
            </w:pPr>
            <w:r w:rsidRPr="005611DA">
              <w:rPr>
                <w:sz w:val="20"/>
                <w:szCs w:val="20"/>
              </w:rPr>
              <w:t xml:space="preserve">Insani, W. N., Zakiyah, N., Puspitasari, I. M., Permana, M. Y., Parmikanti, K., Rusyaman, E., &amp; Suwantika, A. A. (2025). </w:t>
            </w:r>
          </w:p>
        </w:tc>
        <w:tc>
          <w:tcPr>
            <w:tcW w:w="1841" w:type="pct"/>
          </w:tcPr>
          <w:p w14:paraId="3C97F7BB" w14:textId="77777777" w:rsidR="00775AAD" w:rsidRPr="005611DA" w:rsidRDefault="00775AAD">
            <w:pPr>
              <w:spacing w:after="200"/>
              <w:rPr>
                <w:sz w:val="20"/>
                <w:szCs w:val="20"/>
              </w:rPr>
            </w:pPr>
            <w:r w:rsidRPr="005611DA">
              <w:rPr>
                <w:sz w:val="20"/>
                <w:szCs w:val="20"/>
              </w:rPr>
              <w:t>DHT interventions are economically viable to improve medication safety, with a substantial reduction in ADEs and medication errors. Future studies should prioritize incorporating alert compliance tracking, ADE and error severity classification, and evaluation of indirect costs, thereby increasing clinical benefits and economic viability.</w:t>
            </w:r>
          </w:p>
        </w:tc>
        <w:tc>
          <w:tcPr>
            <w:tcW w:w="1577" w:type="pct"/>
          </w:tcPr>
          <w:p w14:paraId="2D078A5D" w14:textId="77777777" w:rsidR="00775AAD" w:rsidRPr="005611DA" w:rsidRDefault="00775AAD">
            <w:pPr>
              <w:spacing w:after="200"/>
              <w:rPr>
                <w:sz w:val="20"/>
                <w:szCs w:val="20"/>
              </w:rPr>
            </w:pPr>
            <w:r w:rsidRPr="005611DA">
              <w:rPr>
                <w:sz w:val="20"/>
                <w:szCs w:val="20"/>
              </w:rPr>
              <w:t>Digital Health Technologies Improve Medication Adherence Rates.</w:t>
            </w:r>
          </w:p>
        </w:tc>
      </w:tr>
      <w:tr w:rsidR="00675E11" w:rsidRPr="005611DA" w14:paraId="256FA3C2" w14:textId="77777777">
        <w:tc>
          <w:tcPr>
            <w:tcW w:w="1582" w:type="pct"/>
          </w:tcPr>
          <w:p w14:paraId="4F8EAA47" w14:textId="77777777" w:rsidR="00775AAD" w:rsidRPr="008F02C4" w:rsidRDefault="00775AAD">
            <w:pPr>
              <w:spacing w:after="200"/>
              <w:rPr>
                <w:sz w:val="20"/>
                <w:szCs w:val="20"/>
                <w:lang w:val="es-ES"/>
              </w:rPr>
            </w:pPr>
            <w:r w:rsidRPr="008F02C4">
              <w:rPr>
                <w:sz w:val="20"/>
                <w:szCs w:val="20"/>
                <w:lang w:val="es-ES"/>
              </w:rPr>
              <w:lastRenderedPageBreak/>
              <w:t>Jansen, E. M., van de Hei, S. J., Dierick, B. J., Kerstjens, H. A., Kocks, J. W., &amp; van Boven, J. F. (2021).</w:t>
            </w:r>
          </w:p>
        </w:tc>
        <w:tc>
          <w:tcPr>
            <w:tcW w:w="1841" w:type="pct"/>
          </w:tcPr>
          <w:p w14:paraId="2F275510" w14:textId="77777777" w:rsidR="00775AAD" w:rsidRPr="005611DA" w:rsidRDefault="00775AAD">
            <w:pPr>
              <w:spacing w:after="200"/>
              <w:rPr>
                <w:sz w:val="20"/>
                <w:szCs w:val="20"/>
              </w:rPr>
            </w:pPr>
            <w:r w:rsidRPr="005611DA">
              <w:rPr>
                <w:sz w:val="20"/>
                <w:szCs w:val="20"/>
              </w:rPr>
              <w:t>Given the scarcity of evidence, future clinical trials are needed that include robust economic outcomes and cost-effectiveness analyses. Clinical outcomes should furthermore include exacerbation rate, the clinical stability of patients, whether inflammatory biomarkers change when adherence rates change, and whether loss of lung function can be prevented </w:t>
            </w:r>
          </w:p>
        </w:tc>
        <w:tc>
          <w:tcPr>
            <w:tcW w:w="1577" w:type="pct"/>
          </w:tcPr>
          <w:p w14:paraId="12F7168A" w14:textId="77777777" w:rsidR="00775AAD" w:rsidRPr="005611DA" w:rsidRDefault="00775AAD">
            <w:pPr>
              <w:spacing w:after="200"/>
              <w:rPr>
                <w:rFonts w:eastAsia="Calibri"/>
                <w:sz w:val="20"/>
                <w:szCs w:val="20"/>
              </w:rPr>
            </w:pPr>
            <w:r w:rsidRPr="005611DA">
              <w:rPr>
                <w:sz w:val="20"/>
                <w:szCs w:val="20"/>
              </w:rPr>
              <w:t>Smart Inhaler usage is Key to Managing Medication Nonadherence.</w:t>
            </w:r>
          </w:p>
          <w:p w14:paraId="2C2869CD" w14:textId="77777777" w:rsidR="00775AAD" w:rsidRPr="005611DA" w:rsidRDefault="00775AAD">
            <w:pPr>
              <w:spacing w:after="200"/>
              <w:rPr>
                <w:sz w:val="20"/>
                <w:szCs w:val="20"/>
              </w:rPr>
            </w:pPr>
          </w:p>
        </w:tc>
      </w:tr>
      <w:tr w:rsidR="00675E11" w:rsidRPr="005611DA" w14:paraId="2885337D" w14:textId="77777777">
        <w:tc>
          <w:tcPr>
            <w:tcW w:w="1582" w:type="pct"/>
          </w:tcPr>
          <w:p w14:paraId="46EA0B7D" w14:textId="77777777" w:rsidR="00775AAD" w:rsidRPr="005611DA" w:rsidRDefault="00775AAD">
            <w:pPr>
              <w:spacing w:after="200"/>
              <w:rPr>
                <w:sz w:val="20"/>
                <w:szCs w:val="20"/>
              </w:rPr>
            </w:pPr>
            <w:r w:rsidRPr="005611DA">
              <w:rPr>
                <w:sz w:val="20"/>
                <w:szCs w:val="20"/>
              </w:rPr>
              <w:t>Juba, O. O., Olumide, A. F., David, J. I., &amp; Adekunle, K. A. (2024).</w:t>
            </w:r>
          </w:p>
        </w:tc>
        <w:tc>
          <w:tcPr>
            <w:tcW w:w="1841" w:type="pct"/>
          </w:tcPr>
          <w:p w14:paraId="1BC7953A" w14:textId="77777777" w:rsidR="00775AAD" w:rsidRPr="005611DA" w:rsidRDefault="00775AAD">
            <w:pPr>
              <w:spacing w:after="200"/>
              <w:rPr>
                <w:sz w:val="20"/>
                <w:szCs w:val="20"/>
              </w:rPr>
            </w:pPr>
            <w:r w:rsidRPr="005611DA">
              <w:rPr>
                <w:sz w:val="20"/>
                <w:szCs w:val="20"/>
                <w:shd w:val="clear" w:color="auto" w:fill="FFFFFF"/>
              </w:rPr>
              <w:t>The challenges associated with this sector, in terms of widespread technology adoption and its implications for ethics, advocate for simple designs, robust data privacy procedures, and equitable access as prerequisites that require careful attention when planning a go-to implementation.</w:t>
            </w:r>
          </w:p>
        </w:tc>
        <w:tc>
          <w:tcPr>
            <w:tcW w:w="1577" w:type="pct"/>
          </w:tcPr>
          <w:p w14:paraId="52B48B3D" w14:textId="77777777" w:rsidR="00775AAD" w:rsidRPr="005611DA" w:rsidRDefault="00775AAD">
            <w:pPr>
              <w:spacing w:after="200"/>
              <w:rPr>
                <w:rFonts w:eastAsia="Calibri"/>
                <w:sz w:val="20"/>
                <w:szCs w:val="20"/>
              </w:rPr>
            </w:pPr>
            <w:r w:rsidRPr="005611DA">
              <w:rPr>
                <w:sz w:val="20"/>
                <w:szCs w:val="20"/>
              </w:rPr>
              <w:t>Technology Upgrades Strategically Reduce Healthcare Costs.</w:t>
            </w:r>
          </w:p>
          <w:p w14:paraId="734E93B3" w14:textId="77777777" w:rsidR="00775AAD" w:rsidRPr="005611DA" w:rsidRDefault="00775AAD">
            <w:pPr>
              <w:spacing w:after="200"/>
              <w:rPr>
                <w:sz w:val="20"/>
                <w:szCs w:val="20"/>
              </w:rPr>
            </w:pPr>
          </w:p>
        </w:tc>
      </w:tr>
      <w:tr w:rsidR="00675E11" w:rsidRPr="005611DA" w14:paraId="6B272EDB" w14:textId="77777777">
        <w:tc>
          <w:tcPr>
            <w:tcW w:w="1582" w:type="pct"/>
          </w:tcPr>
          <w:p w14:paraId="191506D3" w14:textId="77777777" w:rsidR="00775AAD" w:rsidRPr="005611DA" w:rsidRDefault="00775AAD">
            <w:pPr>
              <w:spacing w:after="200"/>
              <w:rPr>
                <w:sz w:val="20"/>
                <w:szCs w:val="20"/>
              </w:rPr>
            </w:pPr>
            <w:r w:rsidRPr="005611DA">
              <w:rPr>
                <w:sz w:val="20"/>
                <w:szCs w:val="20"/>
              </w:rPr>
              <w:t>Kulkov, I., Ivanova-Gongne, M., Bertello, A., Makkonen, H., Kulkova, J., Rohrbeck, R., &amp; Ferraris, A. (2023).</w:t>
            </w:r>
          </w:p>
        </w:tc>
        <w:tc>
          <w:tcPr>
            <w:tcW w:w="1841" w:type="pct"/>
          </w:tcPr>
          <w:p w14:paraId="56B379E8" w14:textId="77777777" w:rsidR="00775AAD" w:rsidRPr="005611DA" w:rsidRDefault="00775AAD">
            <w:pPr>
              <w:spacing w:after="200"/>
              <w:rPr>
                <w:sz w:val="20"/>
                <w:szCs w:val="20"/>
                <w:shd w:val="clear" w:color="auto" w:fill="FFFFFF"/>
              </w:rPr>
            </w:pPr>
            <w:r w:rsidRPr="005611DA">
              <w:rPr>
                <w:sz w:val="20"/>
                <w:szCs w:val="20"/>
              </w:rPr>
              <w:t>A competitive healthcare industry also requires a robust infrastructure that benefits not only individual stakeholders but also society as a whole. Society invests significant resources in equipment, infrastructure, and training medical personnel in the hope of a return. The industry is interested in more supply from technology entrepreneurs. A large amount of scientific research remains within research laboratories and does not reach the market. Private investors may view the healthcare market as a challenge due to its long payback periods, complex certification requirements, and other factors.</w:t>
            </w:r>
          </w:p>
        </w:tc>
        <w:tc>
          <w:tcPr>
            <w:tcW w:w="1577" w:type="pct"/>
          </w:tcPr>
          <w:p w14:paraId="3E58AE65" w14:textId="77777777" w:rsidR="00775AAD" w:rsidRPr="005611DA" w:rsidRDefault="00775AAD">
            <w:pPr>
              <w:spacing w:after="200"/>
              <w:rPr>
                <w:sz w:val="20"/>
                <w:szCs w:val="20"/>
              </w:rPr>
            </w:pPr>
            <w:r w:rsidRPr="005611DA">
              <w:rPr>
                <w:sz w:val="20"/>
                <w:szCs w:val="20"/>
              </w:rPr>
              <w:t>Technological Value Created in Healthcare Challenge.</w:t>
            </w:r>
          </w:p>
        </w:tc>
      </w:tr>
      <w:tr w:rsidR="00675E11" w:rsidRPr="005611DA" w14:paraId="14086733" w14:textId="77777777">
        <w:tc>
          <w:tcPr>
            <w:tcW w:w="1582" w:type="pct"/>
          </w:tcPr>
          <w:p w14:paraId="593D836A" w14:textId="77777777" w:rsidR="00775AAD" w:rsidRPr="005611DA" w:rsidRDefault="00775AAD">
            <w:pPr>
              <w:spacing w:after="200"/>
              <w:rPr>
                <w:sz w:val="20"/>
                <w:szCs w:val="20"/>
              </w:rPr>
            </w:pPr>
            <w:r w:rsidRPr="005611DA">
              <w:rPr>
                <w:sz w:val="20"/>
                <w:szCs w:val="20"/>
              </w:rPr>
              <w:t>Loots, E., Goossens, E., Vanwesemael, T., Morrens, M., Van Rompaey, B., &amp; Dilles, T. (2021).</w:t>
            </w:r>
          </w:p>
        </w:tc>
        <w:tc>
          <w:tcPr>
            <w:tcW w:w="1841" w:type="pct"/>
          </w:tcPr>
          <w:p w14:paraId="71EAFE30" w14:textId="24D6A453" w:rsidR="00775AAD" w:rsidRPr="005611DA" w:rsidRDefault="00775AAD" w:rsidP="00663710">
            <w:pPr>
              <w:pStyle w:val="p1"/>
              <w:spacing w:after="200" w:line="240" w:lineRule="auto"/>
              <w:rPr>
                <w:rFonts w:ascii="Times New Roman" w:hAnsi="Times New Roman" w:cs="Times New Roman"/>
                <w:sz w:val="20"/>
                <w:szCs w:val="20"/>
              </w:rPr>
            </w:pPr>
            <w:r w:rsidRPr="005611DA">
              <w:rPr>
                <w:rFonts w:ascii="Times New Roman" w:hAnsi="Times New Roman" w:cs="Times New Roman"/>
                <w:sz w:val="20"/>
                <w:szCs w:val="20"/>
              </w:rPr>
              <w:t xml:space="preserve">Researchers should strongly consider registering prospective trials and publishing study protocols using standard reporting checklists, such as the Standard Protocol Items: Recommendations for Interventional Trials (SPIRIT). This will help ensure clearer, more consistent reporting of outcome variables that affect </w:t>
            </w:r>
            <w:r w:rsidRPr="005611DA">
              <w:rPr>
                <w:rFonts w:ascii="Times New Roman" w:hAnsi="Times New Roman" w:cs="Times New Roman"/>
                <w:sz w:val="20"/>
                <w:szCs w:val="20"/>
              </w:rPr>
              <w:lastRenderedPageBreak/>
              <w:t>medication adherence. In terms of study design, studies of varying duration are important, as researchers need to be able to make valid assessments of the short-, mid, and long-term effects of their intervention on adherence.</w:t>
            </w:r>
          </w:p>
        </w:tc>
        <w:tc>
          <w:tcPr>
            <w:tcW w:w="1577" w:type="pct"/>
          </w:tcPr>
          <w:p w14:paraId="5F26788A" w14:textId="77777777" w:rsidR="00775AAD" w:rsidRPr="005611DA" w:rsidRDefault="00775AAD">
            <w:pPr>
              <w:spacing w:after="200"/>
              <w:rPr>
                <w:sz w:val="20"/>
                <w:szCs w:val="20"/>
              </w:rPr>
            </w:pPr>
            <w:r w:rsidRPr="005611DA">
              <w:rPr>
                <w:sz w:val="20"/>
                <w:szCs w:val="20"/>
              </w:rPr>
              <w:lastRenderedPageBreak/>
              <w:t>Intervention Trials Recommendations</w:t>
            </w:r>
          </w:p>
          <w:p w14:paraId="61EB1EC5" w14:textId="77777777" w:rsidR="00775AAD" w:rsidRPr="005611DA" w:rsidRDefault="00775AAD">
            <w:pPr>
              <w:spacing w:after="200"/>
              <w:rPr>
                <w:sz w:val="20"/>
                <w:szCs w:val="20"/>
              </w:rPr>
            </w:pPr>
          </w:p>
        </w:tc>
      </w:tr>
    </w:tbl>
    <w:p w14:paraId="01504EF0" w14:textId="77777777" w:rsidR="005D5108" w:rsidRPr="00775AAD" w:rsidRDefault="005D5108" w:rsidP="00775AAD"/>
    <w:p w14:paraId="3A14DB86" w14:textId="77777777" w:rsidR="00775AAD" w:rsidRPr="00775AAD" w:rsidRDefault="00775AAD" w:rsidP="00775AAD"/>
    <w:p w14:paraId="3EE8BD0B" w14:textId="77777777" w:rsidR="00775AAD" w:rsidRDefault="00775AAD" w:rsidP="00017C81"/>
    <w:p w14:paraId="68F5DD0A" w14:textId="3B2DAD69" w:rsidR="00775AAD" w:rsidRPr="00017C81" w:rsidRDefault="00775AAD" w:rsidP="00017C81">
      <w:pPr>
        <w:sectPr w:rsidR="00775AAD" w:rsidRPr="00017C81" w:rsidSect="00C130DF">
          <w:pgSz w:w="15840" w:h="12240" w:orient="landscape" w:code="1"/>
          <w:pgMar w:top="2160" w:right="1872" w:bottom="1440" w:left="1440" w:header="1440" w:footer="1440" w:gutter="0"/>
          <w:cols w:space="720"/>
          <w:noEndnote/>
          <w:docGrid w:linePitch="360"/>
        </w:sectPr>
      </w:pPr>
    </w:p>
    <w:p w14:paraId="1CA50622" w14:textId="6EBA3D4F" w:rsidR="0026034C" w:rsidRDefault="00CF43AB" w:rsidP="00216056">
      <w:pPr>
        <w:pStyle w:val="APALevel0"/>
      </w:pPr>
      <w:r>
        <w:lastRenderedPageBreak/>
        <w:t xml:space="preserve">Appendix </w:t>
      </w:r>
      <w:r w:rsidR="00740D7A">
        <w:t>E</w:t>
      </w:r>
      <w:r>
        <w:t>: Final Concept/Thematic Map</w:t>
      </w:r>
      <w:bookmarkEnd w:id="17"/>
      <w:bookmarkEnd w:id="121"/>
    </w:p>
    <w:p w14:paraId="4ECE4A88" w14:textId="2B733EB2" w:rsidR="00D90012" w:rsidRPr="00663710" w:rsidRDefault="00CF2FE5" w:rsidP="00927849">
      <w:pPr>
        <w:ind w:left="540"/>
      </w:pPr>
      <w:r>
        <w:rPr>
          <w:noProof/>
        </w:rPr>
        <w:drawing>
          <wp:inline distT="0" distB="0" distL="0" distR="0" wp14:anchorId="7F38EC21" wp14:editId="0D51B8F2">
            <wp:extent cx="7239000" cy="4211320"/>
            <wp:effectExtent l="0" t="0" r="0" b="0"/>
            <wp:docPr id="1051215017" name="Picture 3" descr="P124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215017" name="Picture 3" descr="P1247#yIS1"/>
                    <pic:cNvPicPr/>
                  </pic:nvPicPr>
                  <pic:blipFill>
                    <a:blip r:embed="rId115">
                      <a:extLst>
                        <a:ext uri="{28A0092B-C50C-407E-A947-70E740481C1C}">
                          <a14:useLocalDpi xmlns:a14="http://schemas.microsoft.com/office/drawing/2010/main" val="0"/>
                        </a:ext>
                      </a:extLst>
                    </a:blip>
                    <a:stretch>
                      <a:fillRect/>
                    </a:stretch>
                  </pic:blipFill>
                  <pic:spPr>
                    <a:xfrm>
                      <a:off x="0" y="0"/>
                      <a:ext cx="7245577" cy="4215146"/>
                    </a:xfrm>
                    <a:prstGeom prst="rect">
                      <a:avLst/>
                    </a:prstGeom>
                  </pic:spPr>
                </pic:pic>
              </a:graphicData>
            </a:graphic>
          </wp:inline>
        </w:drawing>
      </w:r>
    </w:p>
    <w:sectPr w:rsidR="00D90012" w:rsidRPr="00663710" w:rsidSect="00C130DF">
      <w:headerReference w:type="default" r:id="rId116"/>
      <w:footerReference w:type="default" r:id="rId117"/>
      <w:pgSz w:w="15840" w:h="12240" w:orient="landscape" w:code="1"/>
      <w:pgMar w:top="2160" w:right="1872" w:bottom="1440" w:left="1440" w:header="1440" w:footer="1440" w:gutter="0"/>
      <w:cols w:space="720"/>
      <w:noEndnot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ristin W" w:date="2026-04-15T13:58:00Z" w:initials="KW">
    <w:p w14:paraId="0FADA674" w14:textId="77777777" w:rsidR="003630CB" w:rsidRDefault="003630CB" w:rsidP="00B34385">
      <w:pPr>
        <w:pStyle w:val="CommentText"/>
      </w:pPr>
      <w:r>
        <w:rPr>
          <w:rStyle w:val="CommentReference"/>
        </w:rPr>
        <w:annotationRef/>
      </w:r>
      <w:r>
        <w:t>Include a couple more sub-themes in the prior sentence since you have room to do so.</w:t>
      </w:r>
    </w:p>
  </w:comment>
  <w:comment w:id="1" w:author="Kristin W" w:date="2026-04-15T14:17:00Z" w:initials="KW">
    <w:p w14:paraId="4E0FBE79" w14:textId="77777777" w:rsidR="00A832B3" w:rsidRDefault="00C84F00" w:rsidP="00A832B3">
      <w:pPr>
        <w:pStyle w:val="CommentText"/>
      </w:pPr>
      <w:r>
        <w:rPr>
          <w:rStyle w:val="CommentReference"/>
        </w:rPr>
        <w:annotationRef/>
      </w:r>
      <w:r w:rsidR="00A832B3">
        <w:t>What an amazing legacy of love and kindness, Michael. The abstract will go right after the cover page and then you can insert the Acknowledgements pages.</w:t>
      </w:r>
    </w:p>
  </w:comment>
  <w:comment w:id="117" w:author="Kristin W" w:date="2026-04-15T14:04:00Z" w:initials="KW">
    <w:p w14:paraId="23DE8288" w14:textId="77777777" w:rsidR="00613F56" w:rsidRDefault="00613F56" w:rsidP="00613F56">
      <w:pPr>
        <w:pStyle w:val="CommentText"/>
      </w:pPr>
      <w:r>
        <w:rPr>
          <w:rStyle w:val="CommentReference"/>
        </w:rPr>
        <w:annotationRef/>
      </w:r>
      <w:r>
        <w:t>There is 1 too many sources in this table (30 instead of 29). Remove the one not used for your thematic analysis.</w:t>
      </w:r>
    </w:p>
  </w:comment>
  <w:comment w:id="118" w:author="Kristin W" w:date="2026-04-15T14:06:00Z" w:initials="KW">
    <w:p w14:paraId="04413A3F" w14:textId="77777777" w:rsidR="00D010B3" w:rsidRDefault="00D010B3" w:rsidP="00D010B3">
      <w:pPr>
        <w:pStyle w:val="CommentText"/>
      </w:pPr>
      <w:r>
        <w:rPr>
          <w:rStyle w:val="CommentReference"/>
        </w:rPr>
        <w:annotationRef/>
      </w:r>
      <w:r>
        <w:t>Appendix D has the right number of sources so just make sure the ones in Appendix C match those in 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FADA674" w15:done="1"/>
  <w15:commentEx w15:paraId="4E0FBE79" w15:done="1"/>
  <w15:commentEx w15:paraId="23DE8288" w15:done="1"/>
  <w15:commentEx w15:paraId="04413A3F" w15:paraIdParent="23DE828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D622E11" w16cex:dateUtc="2026-04-15T17:58:00Z"/>
  <w16cex:commentExtensible w16cex:durableId="3A317D2A" w16cex:dateUtc="2026-04-15T18:17:00Z"/>
  <w16cex:commentExtensible w16cex:durableId="64501ABC" w16cex:dateUtc="2026-04-15T18:04:00Z"/>
  <w16cex:commentExtensible w16cex:durableId="06F6C0E4" w16cex:dateUtc="2026-04-15T18: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ADA674" w16cid:durableId="7D622E11"/>
  <w16cid:commentId w16cid:paraId="4E0FBE79" w16cid:durableId="3A317D2A"/>
  <w16cid:commentId w16cid:paraId="23DE8288" w16cid:durableId="64501ABC"/>
  <w16cid:commentId w16cid:paraId="04413A3F" w16cid:durableId="06F6C0E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BD1F7" w14:textId="77777777" w:rsidR="008D7242" w:rsidRDefault="008D7242">
      <w:r>
        <w:separator/>
      </w:r>
    </w:p>
  </w:endnote>
  <w:endnote w:type="continuationSeparator" w:id="0">
    <w:p w14:paraId="09936EE5" w14:textId="77777777" w:rsidR="008D7242" w:rsidRDefault="008D7242">
      <w:r>
        <w:continuationSeparator/>
      </w:r>
    </w:p>
  </w:endnote>
  <w:endnote w:type="continuationNotice" w:id="1">
    <w:p w14:paraId="65B03972" w14:textId="77777777" w:rsidR="008D7242" w:rsidRDefault="008D72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Aptos">
    <w:charset w:val="00"/>
    <w:family w:val="swiss"/>
    <w:pitch w:val="variable"/>
    <w:sig w:usb0="20000287" w:usb1="00000003" w:usb2="00000000" w:usb3="00000000" w:csb0="0000019F" w:csb1="00000000"/>
  </w:font>
  <w:font w:name="ZWAdobeF">
    <w:panose1 w:val="000000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00375" w14:textId="77777777" w:rsidR="00740D7A" w:rsidRDefault="00740D7A">
    <w:pPr>
      <w:pStyle w:val="Footer"/>
    </w:pPr>
    <w:r>
      <w:rPr>
        <w:noProof/>
      </w:rPr>
      <mc:AlternateContent>
        <mc:Choice Requires="wps">
          <w:drawing>
            <wp:anchor distT="0" distB="0" distL="114300" distR="114300" simplePos="0" relativeHeight="251658240" behindDoc="0" locked="0" layoutInCell="0" allowOverlap="1" wp14:anchorId="39E15D18" wp14:editId="2EE020B0">
              <wp:simplePos x="0" y="0"/>
              <wp:positionH relativeFrom="rightMargin">
                <wp:posOffset>-17145</wp:posOffset>
              </wp:positionH>
              <wp:positionV relativeFrom="margin">
                <wp:posOffset>5365962</wp:posOffset>
              </wp:positionV>
              <wp:extent cx="480907" cy="364067"/>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907" cy="3640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5DA06" w14:textId="77777777" w:rsidR="00740D7A" w:rsidRPr="00036CC4" w:rsidRDefault="00740D7A" w:rsidP="00036CC4">
                          <w:pPr>
                            <w:pStyle w:val="Footer"/>
                            <w:ind w:firstLine="0"/>
                            <w:rPr>
                              <w:rFonts w:eastAsiaTheme="majorEastAsia"/>
                            </w:rPr>
                          </w:pPr>
                          <w:r w:rsidRPr="00036CC4">
                            <w:rPr>
                              <w:rFonts w:eastAsiaTheme="minorEastAsia"/>
                            </w:rPr>
                            <w:fldChar w:fldCharType="begin"/>
                          </w:r>
                          <w:r w:rsidRPr="00036CC4">
                            <w:instrText xml:space="preserve"> PAGE    \* MERGEFORMAT </w:instrText>
                          </w:r>
                          <w:r w:rsidRPr="00036CC4">
                            <w:rPr>
                              <w:rFonts w:eastAsiaTheme="minorEastAsia"/>
                            </w:rPr>
                            <w:fldChar w:fldCharType="separate"/>
                          </w:r>
                          <w:r w:rsidRPr="00036CC4">
                            <w:rPr>
                              <w:rFonts w:eastAsiaTheme="majorEastAsia"/>
                              <w:noProof/>
                            </w:rPr>
                            <w:t>2</w:t>
                          </w:r>
                          <w:r w:rsidRPr="00036CC4">
                            <w:rPr>
                              <w:rFonts w:eastAsiaTheme="majorEastAsia"/>
                              <w:noProof/>
                            </w:rPr>
                            <w:fldChar w:fldCharType="end"/>
                          </w:r>
                        </w:p>
                      </w:txbxContent>
                    </wps:txbx>
                    <wps:bodyPr rot="0" vert="vert"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9E15D18" id="Rectangle 2" o:spid="_x0000_s1026" style="position:absolute;left:0;text-align:left;margin-left:-1.35pt;margin-top:422.5pt;width:37.85pt;height:28.65pt;z-index:25165824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" o:allowincell="f" filled="f" stroked="f">
              <v:textbox style="layout-flow:vertical">
                <w:txbxContent>
                  <w:p w14:paraId="7765DA06" w14:textId="77777777" w:rsidR="00740D7A" w:rsidRPr="00036CC4" w:rsidRDefault="00740D7A" w:rsidP="00036CC4">
                    <w:pPr>
                      <w:pStyle w:val="Footer"/>
                      <w:ind w:firstLine="0"/>
                      <w:rPr>
                        <w:rFonts w:eastAsiaTheme="majorEastAsia"/>
                      </w:rPr>
                    </w:pPr>
                    <w:r w:rsidRPr="00036CC4">
                      <w:rPr>
                        <w:rFonts w:eastAsiaTheme="minorEastAsia"/>
                      </w:rPr>
                      <w:fldChar w:fldCharType="begin"/>
                    </w:r>
                    <w:r w:rsidRPr="00036CC4">
                      <w:instrText xml:space="preserve"> PAGE    \* MERGEFORMAT </w:instrText>
                    </w:r>
                    <w:r w:rsidRPr="00036CC4">
                      <w:rPr>
                        <w:rFonts w:eastAsiaTheme="minorEastAsia"/>
                      </w:rPr>
                      <w:fldChar w:fldCharType="separate"/>
                    </w:r>
                    <w:r w:rsidRPr="00036CC4">
                      <w:rPr>
                        <w:rFonts w:eastAsiaTheme="majorEastAsia"/>
                        <w:noProof/>
                      </w:rPr>
                      <w:t>2</w:t>
                    </w:r>
                    <w:r w:rsidRPr="00036CC4">
                      <w:rPr>
                        <w:rFonts w:eastAsiaTheme="majorEastAsia"/>
                        <w:noProof/>
                      </w:rPr>
                      <w:fldChar w:fldCharType="end"/>
                    </w:r>
                  </w:p>
                </w:txbxContent>
              </v:textbox>
              <w10:wrap anchorx="margin" anchory="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79320" w14:textId="3FAB451A" w:rsidR="00740D7A" w:rsidRDefault="00740D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69C2C" w14:textId="5A113AA1" w:rsidR="00EB4442" w:rsidRDefault="00EB4442">
    <w:pPr>
      <w:pStyle w:val="Footer"/>
    </w:pPr>
    <w:r>
      <w:rPr>
        <w:noProof/>
      </w:rPr>
      <mc:AlternateContent>
        <mc:Choice Requires="wps">
          <w:drawing>
            <wp:anchor distT="0" distB="0" distL="114300" distR="114300" simplePos="0" relativeHeight="251658241" behindDoc="0" locked="0" layoutInCell="0" allowOverlap="1" wp14:anchorId="4F4734A2" wp14:editId="5175FE48">
              <wp:simplePos x="0" y="0"/>
              <wp:positionH relativeFrom="rightMargin">
                <wp:posOffset>-77470</wp:posOffset>
              </wp:positionH>
              <wp:positionV relativeFrom="margin">
                <wp:posOffset>4876588</wp:posOffset>
              </wp:positionV>
              <wp:extent cx="493819" cy="794596"/>
              <wp:effectExtent l="0" t="0" r="0" b="571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819" cy="7945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BB1984" w14:textId="104143F5" w:rsidR="00EB4442" w:rsidRPr="00EB4442" w:rsidRDefault="00EB4442">
                          <w:pPr>
                            <w:pStyle w:val="Footer"/>
                            <w:rPr>
                              <w:rFonts w:eastAsiaTheme="majorEastAsia"/>
                            </w:rPr>
                          </w:pPr>
                          <w:r w:rsidRPr="00EB4442">
                            <w:rPr>
                              <w:rFonts w:eastAsiaTheme="minorEastAsia"/>
                            </w:rPr>
                            <w:fldChar w:fldCharType="begin"/>
                          </w:r>
                          <w:r w:rsidRPr="00EB4442">
                            <w:instrText xml:space="preserve"> PAGE    \* MERGEFORMAT </w:instrText>
                          </w:r>
                          <w:r w:rsidRPr="00EB4442">
                            <w:rPr>
                              <w:rFonts w:eastAsiaTheme="minorEastAsia"/>
                            </w:rPr>
                            <w:fldChar w:fldCharType="separate"/>
                          </w:r>
                          <w:r w:rsidRPr="00EB4442">
                            <w:rPr>
                              <w:rFonts w:eastAsiaTheme="majorEastAsia"/>
                              <w:noProof/>
                            </w:rPr>
                            <w:t>2</w:t>
                          </w:r>
                          <w:r w:rsidRPr="00EB4442">
                            <w:rPr>
                              <w:rFonts w:eastAsiaTheme="majorEastAsia"/>
                              <w:noProof/>
                            </w:rPr>
                            <w:fldChar w:fldCharType="end"/>
                          </w:r>
                        </w:p>
                      </w:txbxContent>
                    </wps:txbx>
                    <wps:bodyPr rot="0" vert="vert"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F4734A2" id="Rectangle 4" o:spid="_x0000_s1027" style="position:absolute;left:0;text-align:left;margin-left:-6.1pt;margin-top:384pt;width:38.9pt;height:62.55pt;z-index:251658241;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" o:allowincell="f" filled="f" stroked="f">
              <v:textbox style="layout-flow:vertical">
                <w:txbxContent>
                  <w:p w14:paraId="79BB1984" w14:textId="104143F5" w:rsidR="00EB4442" w:rsidRPr="00EB4442" w:rsidRDefault="00EB4442">
                    <w:pPr>
                      <w:pStyle w:val="Footer"/>
                      <w:rPr>
                        <w:rFonts w:eastAsiaTheme="majorEastAsia"/>
                      </w:rPr>
                    </w:pPr>
                    <w:r w:rsidRPr="00EB4442">
                      <w:rPr>
                        <w:rFonts w:eastAsiaTheme="minorEastAsia"/>
                      </w:rPr>
                      <w:fldChar w:fldCharType="begin"/>
                    </w:r>
                    <w:r w:rsidRPr="00EB4442">
                      <w:instrText xml:space="preserve"> PAGE    \* MERGEFORMAT </w:instrText>
                    </w:r>
                    <w:r w:rsidRPr="00EB4442">
                      <w:rPr>
                        <w:rFonts w:eastAsiaTheme="minorEastAsia"/>
                      </w:rPr>
                      <w:fldChar w:fldCharType="separate"/>
                    </w:r>
                    <w:r w:rsidRPr="00EB4442">
                      <w:rPr>
                        <w:rFonts w:eastAsiaTheme="majorEastAsia"/>
                        <w:noProof/>
                      </w:rPr>
                      <w:t>2</w:t>
                    </w:r>
                    <w:r w:rsidRPr="00EB4442">
                      <w:rPr>
                        <w:rFonts w:eastAsiaTheme="majorEastAsia"/>
                        <w:noProof/>
                      </w:rPr>
                      <w:fldChar w:fldCharType="end"/>
                    </w:r>
                  </w:p>
                </w:txbxContent>
              </v:textbox>
              <w10:wrap anchorx="margin" anchory="margin"/>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D7AE0" w14:textId="77777777" w:rsidR="00EB4442" w:rsidRDefault="00EB44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B8BB9" w14:textId="77777777" w:rsidR="008D7242" w:rsidRDefault="008D7242">
      <w:r>
        <w:separator/>
      </w:r>
    </w:p>
  </w:footnote>
  <w:footnote w:type="continuationSeparator" w:id="0">
    <w:p w14:paraId="13EB009B" w14:textId="77777777" w:rsidR="008D7242" w:rsidRDefault="008D7242">
      <w:r>
        <w:continuationSeparator/>
      </w:r>
    </w:p>
  </w:footnote>
  <w:footnote w:type="continuationNotice" w:id="1">
    <w:p w14:paraId="71336F4E" w14:textId="77777777" w:rsidR="008D7242" w:rsidRDefault="008D72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445009"/>
      <w:docPartObj>
        <w:docPartGallery w:val="Page Numbers (Top of Page)"/>
        <w:docPartUnique/>
      </w:docPartObj>
    </w:sdtPr>
    <w:sdtEndPr>
      <w:rPr>
        <w:noProof/>
      </w:rPr>
    </w:sdtEndPr>
    <w:sdtContent>
      <w:p w14:paraId="551244E4" w14:textId="39BC4343" w:rsidR="00DD366C" w:rsidRDefault="008D7242" w:rsidP="00B0324B">
        <w:pPr>
          <w:pStyle w:val="Header"/>
          <w:jc w:val="right"/>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5041B" w14:textId="77777777" w:rsidR="00DD366C" w:rsidRDefault="00DD366C">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524920"/>
      <w:docPartObj>
        <w:docPartGallery w:val="Page Numbers (Top of Page)"/>
        <w:docPartUnique/>
      </w:docPartObj>
    </w:sdtPr>
    <w:sdtEndPr>
      <w:rPr>
        <w:noProof/>
      </w:rPr>
    </w:sdtEndPr>
    <w:sdtContent>
      <w:p w14:paraId="5A3EE3F6" w14:textId="77777777" w:rsidR="00B0324B" w:rsidRDefault="00B0324B" w:rsidP="00B0324B">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9579659"/>
      <w:docPartObj>
        <w:docPartGallery w:val="Page Numbers (Margins)"/>
        <w:docPartUnique/>
      </w:docPartObj>
    </w:sdtPr>
    <w:sdtEndPr/>
    <w:sdtContent>
      <w:p w14:paraId="569D7FC7" w14:textId="152B0B6B" w:rsidR="00036CC4" w:rsidRDefault="008D7242" w:rsidP="00B0324B">
        <w:pPr>
          <w:pStyle w:val="Header"/>
          <w:jc w:val="right"/>
        </w:pP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1302668"/>
      <w:docPartObj>
        <w:docPartGallery w:val="Page Numbers (Top of Page)"/>
        <w:docPartUnique/>
      </w:docPartObj>
    </w:sdtPr>
    <w:sdtEndPr>
      <w:rPr>
        <w:noProof/>
      </w:rPr>
    </w:sdtEndPr>
    <w:sdtContent>
      <w:p w14:paraId="2AA219C9" w14:textId="33E63E97" w:rsidR="00036CC4" w:rsidRDefault="00740D7A" w:rsidP="00740D7A">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1557386"/>
      <w:docPartObj>
        <w:docPartGallery w:val="Page Numbers (Margins)"/>
        <w:docPartUnique/>
      </w:docPartObj>
    </w:sdtPr>
    <w:sdtEndPr/>
    <w:sdtContent>
      <w:p w14:paraId="03ADABF2" w14:textId="54624C2D" w:rsidR="00EB4442" w:rsidRDefault="008D7242" w:rsidP="00740D7A">
        <w:pPr>
          <w:pStyle w:val="Header"/>
          <w:jc w:val="right"/>
        </w:pP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541287"/>
      <w:docPartObj>
        <w:docPartGallery w:val="Page Numbers (Top of Page)"/>
        <w:docPartUnique/>
      </w:docPartObj>
    </w:sdtPr>
    <w:sdtEndPr>
      <w:rPr>
        <w:noProof/>
      </w:rPr>
    </w:sdtEndPr>
    <w:sdtContent>
      <w:p w14:paraId="65ED4F81" w14:textId="77777777" w:rsidR="00EB4442" w:rsidRDefault="00EB4442" w:rsidP="00740D7A">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CF084B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1BE90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598C6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BC815B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1F8F06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692215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996525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7D82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112C8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7EE7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8AA0E88"/>
    <w:multiLevelType w:val="hybridMultilevel"/>
    <w:tmpl w:val="23BA0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BC44C7"/>
    <w:multiLevelType w:val="hybridMultilevel"/>
    <w:tmpl w:val="7CF08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DE40A7"/>
    <w:multiLevelType w:val="hybridMultilevel"/>
    <w:tmpl w:val="FDE2523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8EB73A5"/>
    <w:multiLevelType w:val="hybridMultilevel"/>
    <w:tmpl w:val="ABD0E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F60603"/>
    <w:multiLevelType w:val="hybridMultilevel"/>
    <w:tmpl w:val="92462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08096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pStyle w:val="Heading3"/>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5F3C51B1"/>
    <w:multiLevelType w:val="hybridMultilevel"/>
    <w:tmpl w:val="67B64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F42AE7"/>
    <w:multiLevelType w:val="hybridMultilevel"/>
    <w:tmpl w:val="175EF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3738158">
    <w:abstractNumId w:val="15"/>
  </w:num>
  <w:num w:numId="2" w16cid:durableId="1872763354">
    <w:abstractNumId w:val="10"/>
  </w:num>
  <w:num w:numId="3" w16cid:durableId="1940523820">
    <w:abstractNumId w:val="11"/>
  </w:num>
  <w:num w:numId="4" w16cid:durableId="1139422819">
    <w:abstractNumId w:val="14"/>
  </w:num>
  <w:num w:numId="5" w16cid:durableId="1903247870">
    <w:abstractNumId w:val="16"/>
  </w:num>
  <w:num w:numId="6" w16cid:durableId="848494629">
    <w:abstractNumId w:val="13"/>
  </w:num>
  <w:num w:numId="7" w16cid:durableId="1051685953">
    <w:abstractNumId w:val="12"/>
  </w:num>
  <w:num w:numId="8" w16cid:durableId="1972903093">
    <w:abstractNumId w:val="17"/>
  </w:num>
  <w:num w:numId="9" w16cid:durableId="530846590">
    <w:abstractNumId w:val="9"/>
  </w:num>
  <w:num w:numId="10" w16cid:durableId="685181243">
    <w:abstractNumId w:val="7"/>
  </w:num>
  <w:num w:numId="11" w16cid:durableId="82076025">
    <w:abstractNumId w:val="6"/>
  </w:num>
  <w:num w:numId="12" w16cid:durableId="69041321">
    <w:abstractNumId w:val="5"/>
  </w:num>
  <w:num w:numId="13" w16cid:durableId="1080832228">
    <w:abstractNumId w:val="4"/>
  </w:num>
  <w:num w:numId="14" w16cid:durableId="788932447">
    <w:abstractNumId w:val="8"/>
  </w:num>
  <w:num w:numId="15" w16cid:durableId="582877458">
    <w:abstractNumId w:val="3"/>
  </w:num>
  <w:num w:numId="16" w16cid:durableId="1924946820">
    <w:abstractNumId w:val="2"/>
  </w:num>
  <w:num w:numId="17" w16cid:durableId="2089375031">
    <w:abstractNumId w:val="1"/>
  </w:num>
  <w:num w:numId="18" w16cid:durableId="404955636">
    <w:abstractNumId w:val="0"/>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ristin W">
    <w15:presenceInfo w15:providerId="Windows Live" w15:userId="6117032e70e72a7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linkStyles/>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EF8"/>
    <w:rsid w:val="00001AA3"/>
    <w:rsid w:val="00002C36"/>
    <w:rsid w:val="00003356"/>
    <w:rsid w:val="0000360A"/>
    <w:rsid w:val="00003D65"/>
    <w:rsid w:val="000054B9"/>
    <w:rsid w:val="00005E09"/>
    <w:rsid w:val="00005EBA"/>
    <w:rsid w:val="00011C79"/>
    <w:rsid w:val="00014377"/>
    <w:rsid w:val="000159A7"/>
    <w:rsid w:val="00017149"/>
    <w:rsid w:val="00017C81"/>
    <w:rsid w:val="00022000"/>
    <w:rsid w:val="00022B6C"/>
    <w:rsid w:val="00023292"/>
    <w:rsid w:val="00023829"/>
    <w:rsid w:val="00024634"/>
    <w:rsid w:val="00024AD3"/>
    <w:rsid w:val="000265BF"/>
    <w:rsid w:val="00027A16"/>
    <w:rsid w:val="00031710"/>
    <w:rsid w:val="00031B33"/>
    <w:rsid w:val="0003253C"/>
    <w:rsid w:val="000328F6"/>
    <w:rsid w:val="00032B4C"/>
    <w:rsid w:val="00032DFB"/>
    <w:rsid w:val="00032FFA"/>
    <w:rsid w:val="0003376F"/>
    <w:rsid w:val="0003432E"/>
    <w:rsid w:val="00034FB1"/>
    <w:rsid w:val="00035496"/>
    <w:rsid w:val="00035AEE"/>
    <w:rsid w:val="00036B6B"/>
    <w:rsid w:val="00036CC4"/>
    <w:rsid w:val="000408F7"/>
    <w:rsid w:val="00041448"/>
    <w:rsid w:val="000423C7"/>
    <w:rsid w:val="00042E1B"/>
    <w:rsid w:val="00045158"/>
    <w:rsid w:val="000467BA"/>
    <w:rsid w:val="00047080"/>
    <w:rsid w:val="00047142"/>
    <w:rsid w:val="000476EA"/>
    <w:rsid w:val="00051B72"/>
    <w:rsid w:val="00051C18"/>
    <w:rsid w:val="0005390B"/>
    <w:rsid w:val="000539C0"/>
    <w:rsid w:val="000550DE"/>
    <w:rsid w:val="000565C4"/>
    <w:rsid w:val="00060EAE"/>
    <w:rsid w:val="000613DC"/>
    <w:rsid w:val="000617AD"/>
    <w:rsid w:val="00061ABB"/>
    <w:rsid w:val="00061B0C"/>
    <w:rsid w:val="0006499B"/>
    <w:rsid w:val="0006586D"/>
    <w:rsid w:val="0006767D"/>
    <w:rsid w:val="00067D62"/>
    <w:rsid w:val="00071A3E"/>
    <w:rsid w:val="00072ED9"/>
    <w:rsid w:val="00073E25"/>
    <w:rsid w:val="00073EF1"/>
    <w:rsid w:val="00074664"/>
    <w:rsid w:val="00076025"/>
    <w:rsid w:val="000769CE"/>
    <w:rsid w:val="00077017"/>
    <w:rsid w:val="0007715B"/>
    <w:rsid w:val="000802C0"/>
    <w:rsid w:val="0008036F"/>
    <w:rsid w:val="00080580"/>
    <w:rsid w:val="0008120B"/>
    <w:rsid w:val="00082981"/>
    <w:rsid w:val="000840CC"/>
    <w:rsid w:val="00084478"/>
    <w:rsid w:val="00084655"/>
    <w:rsid w:val="00085B1B"/>
    <w:rsid w:val="00086D82"/>
    <w:rsid w:val="00091A28"/>
    <w:rsid w:val="00091E35"/>
    <w:rsid w:val="000932D5"/>
    <w:rsid w:val="0009463A"/>
    <w:rsid w:val="000953B0"/>
    <w:rsid w:val="00095F56"/>
    <w:rsid w:val="00096453"/>
    <w:rsid w:val="00097D57"/>
    <w:rsid w:val="000A19EC"/>
    <w:rsid w:val="000A1AAF"/>
    <w:rsid w:val="000A2112"/>
    <w:rsid w:val="000A228C"/>
    <w:rsid w:val="000A29B5"/>
    <w:rsid w:val="000A2B17"/>
    <w:rsid w:val="000A2B8F"/>
    <w:rsid w:val="000A4EDA"/>
    <w:rsid w:val="000A56A4"/>
    <w:rsid w:val="000A68CF"/>
    <w:rsid w:val="000A7A62"/>
    <w:rsid w:val="000B1492"/>
    <w:rsid w:val="000B1DE8"/>
    <w:rsid w:val="000B2901"/>
    <w:rsid w:val="000B2F92"/>
    <w:rsid w:val="000B4027"/>
    <w:rsid w:val="000B438B"/>
    <w:rsid w:val="000B47C2"/>
    <w:rsid w:val="000B792D"/>
    <w:rsid w:val="000C00C9"/>
    <w:rsid w:val="000C07EA"/>
    <w:rsid w:val="000C09A5"/>
    <w:rsid w:val="000C2A93"/>
    <w:rsid w:val="000C391F"/>
    <w:rsid w:val="000C4FB4"/>
    <w:rsid w:val="000C5563"/>
    <w:rsid w:val="000C625F"/>
    <w:rsid w:val="000C73E2"/>
    <w:rsid w:val="000C787F"/>
    <w:rsid w:val="000D08F9"/>
    <w:rsid w:val="000D2218"/>
    <w:rsid w:val="000D2A6D"/>
    <w:rsid w:val="000D386A"/>
    <w:rsid w:val="000D48E9"/>
    <w:rsid w:val="000D52CC"/>
    <w:rsid w:val="000D5729"/>
    <w:rsid w:val="000D5EFF"/>
    <w:rsid w:val="000E01FA"/>
    <w:rsid w:val="000E02F9"/>
    <w:rsid w:val="000E0812"/>
    <w:rsid w:val="000E0857"/>
    <w:rsid w:val="000E2318"/>
    <w:rsid w:val="000E28FC"/>
    <w:rsid w:val="000E29A5"/>
    <w:rsid w:val="000E2AA2"/>
    <w:rsid w:val="000E4FF7"/>
    <w:rsid w:val="000E58AC"/>
    <w:rsid w:val="000E6BB1"/>
    <w:rsid w:val="000E6D27"/>
    <w:rsid w:val="000E6F6E"/>
    <w:rsid w:val="000F0AF8"/>
    <w:rsid w:val="000F10CC"/>
    <w:rsid w:val="000F1911"/>
    <w:rsid w:val="000F1C4B"/>
    <w:rsid w:val="000F2446"/>
    <w:rsid w:val="000F264F"/>
    <w:rsid w:val="000F28F9"/>
    <w:rsid w:val="000F2BD9"/>
    <w:rsid w:val="000F37AB"/>
    <w:rsid w:val="000F3D6E"/>
    <w:rsid w:val="000F4B64"/>
    <w:rsid w:val="000F4EF0"/>
    <w:rsid w:val="000F5DC7"/>
    <w:rsid w:val="000F646F"/>
    <w:rsid w:val="000F647B"/>
    <w:rsid w:val="000F6A65"/>
    <w:rsid w:val="000F6EC2"/>
    <w:rsid w:val="00100A46"/>
    <w:rsid w:val="00100EE6"/>
    <w:rsid w:val="00102B1B"/>
    <w:rsid w:val="001035FB"/>
    <w:rsid w:val="001047C2"/>
    <w:rsid w:val="00105817"/>
    <w:rsid w:val="001068CB"/>
    <w:rsid w:val="00106B93"/>
    <w:rsid w:val="00107124"/>
    <w:rsid w:val="001072CB"/>
    <w:rsid w:val="001104DD"/>
    <w:rsid w:val="001105C7"/>
    <w:rsid w:val="00110CBE"/>
    <w:rsid w:val="0011133E"/>
    <w:rsid w:val="00111913"/>
    <w:rsid w:val="0011357D"/>
    <w:rsid w:val="00114099"/>
    <w:rsid w:val="0011424F"/>
    <w:rsid w:val="001161B5"/>
    <w:rsid w:val="00120A53"/>
    <w:rsid w:val="00122690"/>
    <w:rsid w:val="001228C6"/>
    <w:rsid w:val="00124E20"/>
    <w:rsid w:val="001255B6"/>
    <w:rsid w:val="00125E27"/>
    <w:rsid w:val="001269E0"/>
    <w:rsid w:val="001274FA"/>
    <w:rsid w:val="0012782B"/>
    <w:rsid w:val="00127F34"/>
    <w:rsid w:val="00131247"/>
    <w:rsid w:val="00131596"/>
    <w:rsid w:val="00132A85"/>
    <w:rsid w:val="00134B5A"/>
    <w:rsid w:val="001359AD"/>
    <w:rsid w:val="00135FC5"/>
    <w:rsid w:val="001365F3"/>
    <w:rsid w:val="00137F91"/>
    <w:rsid w:val="00140B42"/>
    <w:rsid w:val="001424C7"/>
    <w:rsid w:val="00142D74"/>
    <w:rsid w:val="0014374F"/>
    <w:rsid w:val="00143D37"/>
    <w:rsid w:val="0014449B"/>
    <w:rsid w:val="00144764"/>
    <w:rsid w:val="00146012"/>
    <w:rsid w:val="00152517"/>
    <w:rsid w:val="00156244"/>
    <w:rsid w:val="001565D6"/>
    <w:rsid w:val="00156808"/>
    <w:rsid w:val="00157724"/>
    <w:rsid w:val="00157D4A"/>
    <w:rsid w:val="00157D6F"/>
    <w:rsid w:val="00160642"/>
    <w:rsid w:val="001618A4"/>
    <w:rsid w:val="001629EA"/>
    <w:rsid w:val="001635D0"/>
    <w:rsid w:val="00163FEC"/>
    <w:rsid w:val="001641D8"/>
    <w:rsid w:val="00164279"/>
    <w:rsid w:val="00164B89"/>
    <w:rsid w:val="00165695"/>
    <w:rsid w:val="00165FDA"/>
    <w:rsid w:val="0016743E"/>
    <w:rsid w:val="00167563"/>
    <w:rsid w:val="00170E95"/>
    <w:rsid w:val="001711B5"/>
    <w:rsid w:val="001726BB"/>
    <w:rsid w:val="001732E0"/>
    <w:rsid w:val="00173BE3"/>
    <w:rsid w:val="00174186"/>
    <w:rsid w:val="00176486"/>
    <w:rsid w:val="00177CC6"/>
    <w:rsid w:val="00182B2F"/>
    <w:rsid w:val="00183CFE"/>
    <w:rsid w:val="00183F89"/>
    <w:rsid w:val="00184588"/>
    <w:rsid w:val="001872BD"/>
    <w:rsid w:val="0018762E"/>
    <w:rsid w:val="00190028"/>
    <w:rsid w:val="00190C20"/>
    <w:rsid w:val="001915D7"/>
    <w:rsid w:val="00191DC3"/>
    <w:rsid w:val="001926FD"/>
    <w:rsid w:val="0019286D"/>
    <w:rsid w:val="00192944"/>
    <w:rsid w:val="00193303"/>
    <w:rsid w:val="00193B7B"/>
    <w:rsid w:val="00193C57"/>
    <w:rsid w:val="001949E6"/>
    <w:rsid w:val="00194A11"/>
    <w:rsid w:val="00195DF6"/>
    <w:rsid w:val="00196EED"/>
    <w:rsid w:val="001A0549"/>
    <w:rsid w:val="001A2229"/>
    <w:rsid w:val="001A3B4E"/>
    <w:rsid w:val="001A6405"/>
    <w:rsid w:val="001A7871"/>
    <w:rsid w:val="001B1900"/>
    <w:rsid w:val="001B3E90"/>
    <w:rsid w:val="001B41A6"/>
    <w:rsid w:val="001B4B43"/>
    <w:rsid w:val="001B5F08"/>
    <w:rsid w:val="001B617A"/>
    <w:rsid w:val="001B6F4A"/>
    <w:rsid w:val="001B7058"/>
    <w:rsid w:val="001B73D9"/>
    <w:rsid w:val="001C16DB"/>
    <w:rsid w:val="001C1CC5"/>
    <w:rsid w:val="001C221A"/>
    <w:rsid w:val="001C2B3E"/>
    <w:rsid w:val="001C34B6"/>
    <w:rsid w:val="001C358C"/>
    <w:rsid w:val="001C40D4"/>
    <w:rsid w:val="001C42AD"/>
    <w:rsid w:val="001C4B51"/>
    <w:rsid w:val="001C68D1"/>
    <w:rsid w:val="001C6A6F"/>
    <w:rsid w:val="001C7B1F"/>
    <w:rsid w:val="001D1AA8"/>
    <w:rsid w:val="001D2640"/>
    <w:rsid w:val="001D2987"/>
    <w:rsid w:val="001D42DF"/>
    <w:rsid w:val="001D4D72"/>
    <w:rsid w:val="001D5980"/>
    <w:rsid w:val="001D657E"/>
    <w:rsid w:val="001D7CC0"/>
    <w:rsid w:val="001E093D"/>
    <w:rsid w:val="001E1574"/>
    <w:rsid w:val="001E171A"/>
    <w:rsid w:val="001E1F5B"/>
    <w:rsid w:val="001E2E06"/>
    <w:rsid w:val="001E3606"/>
    <w:rsid w:val="001E3B08"/>
    <w:rsid w:val="001E4714"/>
    <w:rsid w:val="001E5A5D"/>
    <w:rsid w:val="001E5B43"/>
    <w:rsid w:val="001E5CC8"/>
    <w:rsid w:val="001E6461"/>
    <w:rsid w:val="001E75F1"/>
    <w:rsid w:val="001F0497"/>
    <w:rsid w:val="001F0E77"/>
    <w:rsid w:val="001F12D5"/>
    <w:rsid w:val="001F1403"/>
    <w:rsid w:val="001F3B2A"/>
    <w:rsid w:val="001F4B09"/>
    <w:rsid w:val="001F6FC4"/>
    <w:rsid w:val="00200290"/>
    <w:rsid w:val="00200820"/>
    <w:rsid w:val="002011EF"/>
    <w:rsid w:val="00202CB8"/>
    <w:rsid w:val="00202F2A"/>
    <w:rsid w:val="00204592"/>
    <w:rsid w:val="00204CE1"/>
    <w:rsid w:val="00205313"/>
    <w:rsid w:val="0020585F"/>
    <w:rsid w:val="00206A8D"/>
    <w:rsid w:val="00210236"/>
    <w:rsid w:val="00211BDC"/>
    <w:rsid w:val="002124D6"/>
    <w:rsid w:val="00216056"/>
    <w:rsid w:val="0021626E"/>
    <w:rsid w:val="002179FF"/>
    <w:rsid w:val="00217E99"/>
    <w:rsid w:val="00220DD5"/>
    <w:rsid w:val="00221A9E"/>
    <w:rsid w:val="00221E4C"/>
    <w:rsid w:val="00222119"/>
    <w:rsid w:val="002236E6"/>
    <w:rsid w:val="00225AD0"/>
    <w:rsid w:val="00226989"/>
    <w:rsid w:val="00226A54"/>
    <w:rsid w:val="00227202"/>
    <w:rsid w:val="00227965"/>
    <w:rsid w:val="002305C4"/>
    <w:rsid w:val="00230EA1"/>
    <w:rsid w:val="00230F17"/>
    <w:rsid w:val="00231402"/>
    <w:rsid w:val="00231742"/>
    <w:rsid w:val="00231C80"/>
    <w:rsid w:val="00231C92"/>
    <w:rsid w:val="00232159"/>
    <w:rsid w:val="00232FB5"/>
    <w:rsid w:val="002350E0"/>
    <w:rsid w:val="00235668"/>
    <w:rsid w:val="00235CA4"/>
    <w:rsid w:val="00236267"/>
    <w:rsid w:val="00237219"/>
    <w:rsid w:val="00237E37"/>
    <w:rsid w:val="002405ED"/>
    <w:rsid w:val="002410F4"/>
    <w:rsid w:val="00241673"/>
    <w:rsid w:val="00242EEE"/>
    <w:rsid w:val="00244114"/>
    <w:rsid w:val="002444BF"/>
    <w:rsid w:val="00244D57"/>
    <w:rsid w:val="00244DA0"/>
    <w:rsid w:val="00245576"/>
    <w:rsid w:val="002469A4"/>
    <w:rsid w:val="00247D57"/>
    <w:rsid w:val="0025379B"/>
    <w:rsid w:val="00254841"/>
    <w:rsid w:val="00256519"/>
    <w:rsid w:val="00256935"/>
    <w:rsid w:val="002573A8"/>
    <w:rsid w:val="0026034C"/>
    <w:rsid w:val="00261C2B"/>
    <w:rsid w:val="00261D07"/>
    <w:rsid w:val="002649B2"/>
    <w:rsid w:val="00264C02"/>
    <w:rsid w:val="00266FA1"/>
    <w:rsid w:val="00267E1E"/>
    <w:rsid w:val="002706D7"/>
    <w:rsid w:val="00270944"/>
    <w:rsid w:val="002732AC"/>
    <w:rsid w:val="00273A7B"/>
    <w:rsid w:val="00273FAE"/>
    <w:rsid w:val="00275376"/>
    <w:rsid w:val="00275465"/>
    <w:rsid w:val="00281409"/>
    <w:rsid w:val="00281607"/>
    <w:rsid w:val="002827D6"/>
    <w:rsid w:val="002827EB"/>
    <w:rsid w:val="00282BA5"/>
    <w:rsid w:val="00282DE2"/>
    <w:rsid w:val="00285E7A"/>
    <w:rsid w:val="002868A6"/>
    <w:rsid w:val="00286BCD"/>
    <w:rsid w:val="0028763D"/>
    <w:rsid w:val="0029077D"/>
    <w:rsid w:val="0029141F"/>
    <w:rsid w:val="00293F18"/>
    <w:rsid w:val="002940E3"/>
    <w:rsid w:val="00295D25"/>
    <w:rsid w:val="00296A92"/>
    <w:rsid w:val="00296C80"/>
    <w:rsid w:val="002A05A3"/>
    <w:rsid w:val="002A1189"/>
    <w:rsid w:val="002A4EF2"/>
    <w:rsid w:val="002A6CC4"/>
    <w:rsid w:val="002A7848"/>
    <w:rsid w:val="002A78D9"/>
    <w:rsid w:val="002B1F60"/>
    <w:rsid w:val="002B2A47"/>
    <w:rsid w:val="002B2ACA"/>
    <w:rsid w:val="002B406D"/>
    <w:rsid w:val="002B40E0"/>
    <w:rsid w:val="002B5B25"/>
    <w:rsid w:val="002B6C91"/>
    <w:rsid w:val="002C038E"/>
    <w:rsid w:val="002C1138"/>
    <w:rsid w:val="002C125F"/>
    <w:rsid w:val="002C3047"/>
    <w:rsid w:val="002C3658"/>
    <w:rsid w:val="002C3B19"/>
    <w:rsid w:val="002C3C89"/>
    <w:rsid w:val="002C46F9"/>
    <w:rsid w:val="002C4F2F"/>
    <w:rsid w:val="002C5804"/>
    <w:rsid w:val="002C69EB"/>
    <w:rsid w:val="002C6E9D"/>
    <w:rsid w:val="002C6F64"/>
    <w:rsid w:val="002D0964"/>
    <w:rsid w:val="002D1480"/>
    <w:rsid w:val="002D1851"/>
    <w:rsid w:val="002D1F2E"/>
    <w:rsid w:val="002D3B48"/>
    <w:rsid w:val="002D411C"/>
    <w:rsid w:val="002D4316"/>
    <w:rsid w:val="002D47B2"/>
    <w:rsid w:val="002D4C9D"/>
    <w:rsid w:val="002D6364"/>
    <w:rsid w:val="002D6B9B"/>
    <w:rsid w:val="002E018C"/>
    <w:rsid w:val="002E02D8"/>
    <w:rsid w:val="002E2C0D"/>
    <w:rsid w:val="002E2FF8"/>
    <w:rsid w:val="002E4033"/>
    <w:rsid w:val="002E4B81"/>
    <w:rsid w:val="002E4BD3"/>
    <w:rsid w:val="002E50D4"/>
    <w:rsid w:val="002E5538"/>
    <w:rsid w:val="002E5B29"/>
    <w:rsid w:val="002E6DA1"/>
    <w:rsid w:val="002E7266"/>
    <w:rsid w:val="002E7B2B"/>
    <w:rsid w:val="002E7CBA"/>
    <w:rsid w:val="002F1C80"/>
    <w:rsid w:val="002F3DD2"/>
    <w:rsid w:val="002F41CD"/>
    <w:rsid w:val="002F5ADF"/>
    <w:rsid w:val="002F5D49"/>
    <w:rsid w:val="002F6900"/>
    <w:rsid w:val="002F6989"/>
    <w:rsid w:val="00300CB1"/>
    <w:rsid w:val="003011EA"/>
    <w:rsid w:val="003012FC"/>
    <w:rsid w:val="00302C7E"/>
    <w:rsid w:val="00303535"/>
    <w:rsid w:val="00303BDA"/>
    <w:rsid w:val="00304AFF"/>
    <w:rsid w:val="00305551"/>
    <w:rsid w:val="00307C3C"/>
    <w:rsid w:val="00310F39"/>
    <w:rsid w:val="003110D9"/>
    <w:rsid w:val="003112AB"/>
    <w:rsid w:val="00311AAD"/>
    <w:rsid w:val="0031330C"/>
    <w:rsid w:val="00313B05"/>
    <w:rsid w:val="00314BD0"/>
    <w:rsid w:val="00315108"/>
    <w:rsid w:val="003157DF"/>
    <w:rsid w:val="003178F7"/>
    <w:rsid w:val="00317ADB"/>
    <w:rsid w:val="00320F45"/>
    <w:rsid w:val="00321A2C"/>
    <w:rsid w:val="00321AE9"/>
    <w:rsid w:val="00321B57"/>
    <w:rsid w:val="003227BB"/>
    <w:rsid w:val="00322AE7"/>
    <w:rsid w:val="0032432E"/>
    <w:rsid w:val="00324CD8"/>
    <w:rsid w:val="00325500"/>
    <w:rsid w:val="0032562B"/>
    <w:rsid w:val="00326062"/>
    <w:rsid w:val="003262E0"/>
    <w:rsid w:val="00326E8E"/>
    <w:rsid w:val="00330816"/>
    <w:rsid w:val="00332320"/>
    <w:rsid w:val="00333542"/>
    <w:rsid w:val="003339D7"/>
    <w:rsid w:val="00334176"/>
    <w:rsid w:val="003349F8"/>
    <w:rsid w:val="0033576C"/>
    <w:rsid w:val="00335D61"/>
    <w:rsid w:val="00336A3A"/>
    <w:rsid w:val="00337F92"/>
    <w:rsid w:val="00342D99"/>
    <w:rsid w:val="00342F93"/>
    <w:rsid w:val="0034332F"/>
    <w:rsid w:val="003438B3"/>
    <w:rsid w:val="003439FD"/>
    <w:rsid w:val="00343E1B"/>
    <w:rsid w:val="00343ED4"/>
    <w:rsid w:val="00344C0B"/>
    <w:rsid w:val="00345372"/>
    <w:rsid w:val="00347D2E"/>
    <w:rsid w:val="003507C5"/>
    <w:rsid w:val="00351536"/>
    <w:rsid w:val="003531CC"/>
    <w:rsid w:val="00353AAD"/>
    <w:rsid w:val="003547BB"/>
    <w:rsid w:val="003547D9"/>
    <w:rsid w:val="003547F4"/>
    <w:rsid w:val="00356338"/>
    <w:rsid w:val="00356AB9"/>
    <w:rsid w:val="00357996"/>
    <w:rsid w:val="00360DFD"/>
    <w:rsid w:val="00360E4C"/>
    <w:rsid w:val="00361965"/>
    <w:rsid w:val="00361C0D"/>
    <w:rsid w:val="00362C47"/>
    <w:rsid w:val="00362DFA"/>
    <w:rsid w:val="003630CB"/>
    <w:rsid w:val="00363131"/>
    <w:rsid w:val="00363275"/>
    <w:rsid w:val="003638F7"/>
    <w:rsid w:val="003651C0"/>
    <w:rsid w:val="00365912"/>
    <w:rsid w:val="003678FE"/>
    <w:rsid w:val="00367EF1"/>
    <w:rsid w:val="00370BD4"/>
    <w:rsid w:val="003733BB"/>
    <w:rsid w:val="00375274"/>
    <w:rsid w:val="00375938"/>
    <w:rsid w:val="00376A98"/>
    <w:rsid w:val="00376EC9"/>
    <w:rsid w:val="00377071"/>
    <w:rsid w:val="0037722B"/>
    <w:rsid w:val="00377F11"/>
    <w:rsid w:val="00381BE9"/>
    <w:rsid w:val="00382FB6"/>
    <w:rsid w:val="0038346D"/>
    <w:rsid w:val="00383801"/>
    <w:rsid w:val="00383B95"/>
    <w:rsid w:val="003863FB"/>
    <w:rsid w:val="0038674F"/>
    <w:rsid w:val="00386A97"/>
    <w:rsid w:val="00387A0B"/>
    <w:rsid w:val="00387DC6"/>
    <w:rsid w:val="00390A57"/>
    <w:rsid w:val="00390DA0"/>
    <w:rsid w:val="00390EFA"/>
    <w:rsid w:val="003914A6"/>
    <w:rsid w:val="00395408"/>
    <w:rsid w:val="003A04DB"/>
    <w:rsid w:val="003A0B06"/>
    <w:rsid w:val="003A5FC3"/>
    <w:rsid w:val="003A67DA"/>
    <w:rsid w:val="003A6A7F"/>
    <w:rsid w:val="003A6B82"/>
    <w:rsid w:val="003A77A3"/>
    <w:rsid w:val="003A787B"/>
    <w:rsid w:val="003B2BAE"/>
    <w:rsid w:val="003B41E7"/>
    <w:rsid w:val="003B4A95"/>
    <w:rsid w:val="003B5A6C"/>
    <w:rsid w:val="003B6290"/>
    <w:rsid w:val="003B7BED"/>
    <w:rsid w:val="003B7C4D"/>
    <w:rsid w:val="003C0409"/>
    <w:rsid w:val="003C05E7"/>
    <w:rsid w:val="003C16B1"/>
    <w:rsid w:val="003C3A78"/>
    <w:rsid w:val="003C5572"/>
    <w:rsid w:val="003C658F"/>
    <w:rsid w:val="003D009C"/>
    <w:rsid w:val="003D0365"/>
    <w:rsid w:val="003D082F"/>
    <w:rsid w:val="003D1DF8"/>
    <w:rsid w:val="003D209C"/>
    <w:rsid w:val="003D2A69"/>
    <w:rsid w:val="003D54D0"/>
    <w:rsid w:val="003D68D7"/>
    <w:rsid w:val="003D734E"/>
    <w:rsid w:val="003D77B4"/>
    <w:rsid w:val="003E1032"/>
    <w:rsid w:val="003E11A9"/>
    <w:rsid w:val="003E1753"/>
    <w:rsid w:val="003E18A4"/>
    <w:rsid w:val="003E18A7"/>
    <w:rsid w:val="003E3140"/>
    <w:rsid w:val="003E411C"/>
    <w:rsid w:val="003E4ADD"/>
    <w:rsid w:val="003E52E0"/>
    <w:rsid w:val="003E569F"/>
    <w:rsid w:val="003E5FE2"/>
    <w:rsid w:val="003E6432"/>
    <w:rsid w:val="003E64D1"/>
    <w:rsid w:val="003E6B70"/>
    <w:rsid w:val="003E7FAD"/>
    <w:rsid w:val="003F01CC"/>
    <w:rsid w:val="003F0F77"/>
    <w:rsid w:val="003F21B3"/>
    <w:rsid w:val="003F304B"/>
    <w:rsid w:val="003F3DA7"/>
    <w:rsid w:val="003F425C"/>
    <w:rsid w:val="003F7705"/>
    <w:rsid w:val="00401E3C"/>
    <w:rsid w:val="00402D36"/>
    <w:rsid w:val="0040335E"/>
    <w:rsid w:val="0040362E"/>
    <w:rsid w:val="00403895"/>
    <w:rsid w:val="004048B0"/>
    <w:rsid w:val="00404AB6"/>
    <w:rsid w:val="00405D61"/>
    <w:rsid w:val="0041014A"/>
    <w:rsid w:val="00415754"/>
    <w:rsid w:val="0041643A"/>
    <w:rsid w:val="00422EF6"/>
    <w:rsid w:val="00424A6D"/>
    <w:rsid w:val="00424BDE"/>
    <w:rsid w:val="00424F4A"/>
    <w:rsid w:val="004267D0"/>
    <w:rsid w:val="00426B9D"/>
    <w:rsid w:val="00427167"/>
    <w:rsid w:val="00427416"/>
    <w:rsid w:val="004277A1"/>
    <w:rsid w:val="004300C9"/>
    <w:rsid w:val="004302C3"/>
    <w:rsid w:val="0043423D"/>
    <w:rsid w:val="004342FB"/>
    <w:rsid w:val="00436A09"/>
    <w:rsid w:val="00436F8B"/>
    <w:rsid w:val="004371CF"/>
    <w:rsid w:val="00440949"/>
    <w:rsid w:val="00440C5A"/>
    <w:rsid w:val="004414EC"/>
    <w:rsid w:val="00442A81"/>
    <w:rsid w:val="00443246"/>
    <w:rsid w:val="004443B0"/>
    <w:rsid w:val="0044452C"/>
    <w:rsid w:val="00444DA8"/>
    <w:rsid w:val="004454ED"/>
    <w:rsid w:val="00445932"/>
    <w:rsid w:val="00445EB5"/>
    <w:rsid w:val="0045100E"/>
    <w:rsid w:val="0045125B"/>
    <w:rsid w:val="00451751"/>
    <w:rsid w:val="004523B9"/>
    <w:rsid w:val="0045288A"/>
    <w:rsid w:val="00452ED0"/>
    <w:rsid w:val="00453200"/>
    <w:rsid w:val="004542BB"/>
    <w:rsid w:val="0045460A"/>
    <w:rsid w:val="004550E5"/>
    <w:rsid w:val="00456875"/>
    <w:rsid w:val="00456CB8"/>
    <w:rsid w:val="004571AD"/>
    <w:rsid w:val="004576F3"/>
    <w:rsid w:val="004611FF"/>
    <w:rsid w:val="00462256"/>
    <w:rsid w:val="004649A9"/>
    <w:rsid w:val="00464FDE"/>
    <w:rsid w:val="0046706B"/>
    <w:rsid w:val="0046709A"/>
    <w:rsid w:val="00470603"/>
    <w:rsid w:val="00470DA0"/>
    <w:rsid w:val="004710B6"/>
    <w:rsid w:val="004726F7"/>
    <w:rsid w:val="0047332B"/>
    <w:rsid w:val="00473F10"/>
    <w:rsid w:val="00480172"/>
    <w:rsid w:val="00480D8B"/>
    <w:rsid w:val="00481278"/>
    <w:rsid w:val="004827AC"/>
    <w:rsid w:val="004829C7"/>
    <w:rsid w:val="0048330E"/>
    <w:rsid w:val="0048338D"/>
    <w:rsid w:val="004839B0"/>
    <w:rsid w:val="0048401F"/>
    <w:rsid w:val="004851B7"/>
    <w:rsid w:val="00486675"/>
    <w:rsid w:val="00486D83"/>
    <w:rsid w:val="00487351"/>
    <w:rsid w:val="00487C2F"/>
    <w:rsid w:val="0049072A"/>
    <w:rsid w:val="00490F9E"/>
    <w:rsid w:val="00493C57"/>
    <w:rsid w:val="00494B54"/>
    <w:rsid w:val="00494EEC"/>
    <w:rsid w:val="00495747"/>
    <w:rsid w:val="00495E55"/>
    <w:rsid w:val="004961B5"/>
    <w:rsid w:val="00497014"/>
    <w:rsid w:val="0049750F"/>
    <w:rsid w:val="004A0358"/>
    <w:rsid w:val="004A1854"/>
    <w:rsid w:val="004A1D92"/>
    <w:rsid w:val="004A2689"/>
    <w:rsid w:val="004A2B8E"/>
    <w:rsid w:val="004A4317"/>
    <w:rsid w:val="004A57F6"/>
    <w:rsid w:val="004A5F0A"/>
    <w:rsid w:val="004A620E"/>
    <w:rsid w:val="004A6699"/>
    <w:rsid w:val="004A6E14"/>
    <w:rsid w:val="004A76ED"/>
    <w:rsid w:val="004A7D7D"/>
    <w:rsid w:val="004B2768"/>
    <w:rsid w:val="004B2ED1"/>
    <w:rsid w:val="004B34CB"/>
    <w:rsid w:val="004B3898"/>
    <w:rsid w:val="004B4AD6"/>
    <w:rsid w:val="004B5877"/>
    <w:rsid w:val="004B5C0D"/>
    <w:rsid w:val="004C328A"/>
    <w:rsid w:val="004C50E6"/>
    <w:rsid w:val="004C5AA6"/>
    <w:rsid w:val="004C677D"/>
    <w:rsid w:val="004C6B09"/>
    <w:rsid w:val="004C6B20"/>
    <w:rsid w:val="004C6DCB"/>
    <w:rsid w:val="004C7398"/>
    <w:rsid w:val="004C758D"/>
    <w:rsid w:val="004D065D"/>
    <w:rsid w:val="004D13D0"/>
    <w:rsid w:val="004D455E"/>
    <w:rsid w:val="004D4C9F"/>
    <w:rsid w:val="004D4F2B"/>
    <w:rsid w:val="004D4F55"/>
    <w:rsid w:val="004D5479"/>
    <w:rsid w:val="004D63D5"/>
    <w:rsid w:val="004D7149"/>
    <w:rsid w:val="004D72C3"/>
    <w:rsid w:val="004E0351"/>
    <w:rsid w:val="004E059F"/>
    <w:rsid w:val="004E25A0"/>
    <w:rsid w:val="004E32A8"/>
    <w:rsid w:val="004E32F9"/>
    <w:rsid w:val="004E3EDF"/>
    <w:rsid w:val="004E47B7"/>
    <w:rsid w:val="004E590F"/>
    <w:rsid w:val="004E6CA6"/>
    <w:rsid w:val="004F291A"/>
    <w:rsid w:val="004F299A"/>
    <w:rsid w:val="004F2BE0"/>
    <w:rsid w:val="004F2F15"/>
    <w:rsid w:val="004F570D"/>
    <w:rsid w:val="004F5740"/>
    <w:rsid w:val="004F5D87"/>
    <w:rsid w:val="004F6C80"/>
    <w:rsid w:val="004F717B"/>
    <w:rsid w:val="00500AB5"/>
    <w:rsid w:val="00500C2D"/>
    <w:rsid w:val="00500D50"/>
    <w:rsid w:val="0050204B"/>
    <w:rsid w:val="00503D25"/>
    <w:rsid w:val="0050546F"/>
    <w:rsid w:val="0051056B"/>
    <w:rsid w:val="0051092D"/>
    <w:rsid w:val="00510DDD"/>
    <w:rsid w:val="00511CED"/>
    <w:rsid w:val="005129DE"/>
    <w:rsid w:val="005158AC"/>
    <w:rsid w:val="00516174"/>
    <w:rsid w:val="00516C35"/>
    <w:rsid w:val="005177AB"/>
    <w:rsid w:val="005179E0"/>
    <w:rsid w:val="00520E88"/>
    <w:rsid w:val="005210A3"/>
    <w:rsid w:val="00522434"/>
    <w:rsid w:val="00522A13"/>
    <w:rsid w:val="005232E1"/>
    <w:rsid w:val="00523AD1"/>
    <w:rsid w:val="005252F0"/>
    <w:rsid w:val="00526350"/>
    <w:rsid w:val="00526902"/>
    <w:rsid w:val="00527671"/>
    <w:rsid w:val="005306B0"/>
    <w:rsid w:val="00530B2E"/>
    <w:rsid w:val="00530EE4"/>
    <w:rsid w:val="00532C22"/>
    <w:rsid w:val="0053323E"/>
    <w:rsid w:val="00533408"/>
    <w:rsid w:val="005411A4"/>
    <w:rsid w:val="0054269C"/>
    <w:rsid w:val="005444E9"/>
    <w:rsid w:val="0054533E"/>
    <w:rsid w:val="00546268"/>
    <w:rsid w:val="005471F6"/>
    <w:rsid w:val="00547C41"/>
    <w:rsid w:val="00551A20"/>
    <w:rsid w:val="00553179"/>
    <w:rsid w:val="0055441B"/>
    <w:rsid w:val="00554823"/>
    <w:rsid w:val="00556352"/>
    <w:rsid w:val="00560040"/>
    <w:rsid w:val="0056045B"/>
    <w:rsid w:val="00561961"/>
    <w:rsid w:val="005622A9"/>
    <w:rsid w:val="005624D4"/>
    <w:rsid w:val="005631EF"/>
    <w:rsid w:val="00563837"/>
    <w:rsid w:val="00564BF0"/>
    <w:rsid w:val="0056529B"/>
    <w:rsid w:val="00566D39"/>
    <w:rsid w:val="00567FA8"/>
    <w:rsid w:val="00574270"/>
    <w:rsid w:val="00574883"/>
    <w:rsid w:val="00574F66"/>
    <w:rsid w:val="00575DB0"/>
    <w:rsid w:val="00575EB3"/>
    <w:rsid w:val="00577EDE"/>
    <w:rsid w:val="00577FCD"/>
    <w:rsid w:val="00580BEE"/>
    <w:rsid w:val="00581D07"/>
    <w:rsid w:val="0058211F"/>
    <w:rsid w:val="00582560"/>
    <w:rsid w:val="00585363"/>
    <w:rsid w:val="005854C7"/>
    <w:rsid w:val="0058686F"/>
    <w:rsid w:val="00586C7C"/>
    <w:rsid w:val="00587903"/>
    <w:rsid w:val="0059039B"/>
    <w:rsid w:val="00590489"/>
    <w:rsid w:val="00591A99"/>
    <w:rsid w:val="00591B55"/>
    <w:rsid w:val="00591BE6"/>
    <w:rsid w:val="0059386D"/>
    <w:rsid w:val="00594D68"/>
    <w:rsid w:val="00594F89"/>
    <w:rsid w:val="00595816"/>
    <w:rsid w:val="0059605D"/>
    <w:rsid w:val="00596345"/>
    <w:rsid w:val="00596CB3"/>
    <w:rsid w:val="00597727"/>
    <w:rsid w:val="005A24E0"/>
    <w:rsid w:val="005A2788"/>
    <w:rsid w:val="005A27A2"/>
    <w:rsid w:val="005A2C99"/>
    <w:rsid w:val="005A33FF"/>
    <w:rsid w:val="005A49C2"/>
    <w:rsid w:val="005A5589"/>
    <w:rsid w:val="005A5859"/>
    <w:rsid w:val="005A5B23"/>
    <w:rsid w:val="005A6DE3"/>
    <w:rsid w:val="005A7BBD"/>
    <w:rsid w:val="005B124D"/>
    <w:rsid w:val="005B19B4"/>
    <w:rsid w:val="005B2903"/>
    <w:rsid w:val="005B40F8"/>
    <w:rsid w:val="005B48AC"/>
    <w:rsid w:val="005B4AE1"/>
    <w:rsid w:val="005B4E6B"/>
    <w:rsid w:val="005B5CEE"/>
    <w:rsid w:val="005B6A35"/>
    <w:rsid w:val="005C06D1"/>
    <w:rsid w:val="005C19D9"/>
    <w:rsid w:val="005C23E4"/>
    <w:rsid w:val="005C3E61"/>
    <w:rsid w:val="005C57B4"/>
    <w:rsid w:val="005C57D8"/>
    <w:rsid w:val="005C582E"/>
    <w:rsid w:val="005C700A"/>
    <w:rsid w:val="005C7F69"/>
    <w:rsid w:val="005D0292"/>
    <w:rsid w:val="005D11EC"/>
    <w:rsid w:val="005D1450"/>
    <w:rsid w:val="005D1701"/>
    <w:rsid w:val="005D4C48"/>
    <w:rsid w:val="005D4F4F"/>
    <w:rsid w:val="005D5108"/>
    <w:rsid w:val="005D5C0F"/>
    <w:rsid w:val="005D6E51"/>
    <w:rsid w:val="005D6F90"/>
    <w:rsid w:val="005D7280"/>
    <w:rsid w:val="005D74CE"/>
    <w:rsid w:val="005E2118"/>
    <w:rsid w:val="005E3010"/>
    <w:rsid w:val="005E346C"/>
    <w:rsid w:val="005E358C"/>
    <w:rsid w:val="005E68F9"/>
    <w:rsid w:val="005E712B"/>
    <w:rsid w:val="005E7C96"/>
    <w:rsid w:val="005F0292"/>
    <w:rsid w:val="005F096B"/>
    <w:rsid w:val="005F0D9A"/>
    <w:rsid w:val="005F34A3"/>
    <w:rsid w:val="005F3A92"/>
    <w:rsid w:val="005F41E9"/>
    <w:rsid w:val="005F45A6"/>
    <w:rsid w:val="005F5EF3"/>
    <w:rsid w:val="005F5EFD"/>
    <w:rsid w:val="005F6B7E"/>
    <w:rsid w:val="005F79D6"/>
    <w:rsid w:val="0060136D"/>
    <w:rsid w:val="00602807"/>
    <w:rsid w:val="00603ABE"/>
    <w:rsid w:val="00603CA3"/>
    <w:rsid w:val="006051A1"/>
    <w:rsid w:val="00605C47"/>
    <w:rsid w:val="00606B11"/>
    <w:rsid w:val="0061010A"/>
    <w:rsid w:val="006106A3"/>
    <w:rsid w:val="00611F26"/>
    <w:rsid w:val="00612DC7"/>
    <w:rsid w:val="0061350A"/>
    <w:rsid w:val="00613B99"/>
    <w:rsid w:val="00613F56"/>
    <w:rsid w:val="00614E70"/>
    <w:rsid w:val="00614FDE"/>
    <w:rsid w:val="00615F9B"/>
    <w:rsid w:val="00617545"/>
    <w:rsid w:val="00621A6E"/>
    <w:rsid w:val="006239D2"/>
    <w:rsid w:val="00626BF4"/>
    <w:rsid w:val="00630E53"/>
    <w:rsid w:val="006319B4"/>
    <w:rsid w:val="00631F8D"/>
    <w:rsid w:val="006333D6"/>
    <w:rsid w:val="00634D0F"/>
    <w:rsid w:val="006357AE"/>
    <w:rsid w:val="006366D5"/>
    <w:rsid w:val="00637651"/>
    <w:rsid w:val="006379C6"/>
    <w:rsid w:val="0064141C"/>
    <w:rsid w:val="00642A78"/>
    <w:rsid w:val="006438C8"/>
    <w:rsid w:val="00643D4F"/>
    <w:rsid w:val="00644C9F"/>
    <w:rsid w:val="006455F0"/>
    <w:rsid w:val="0064743D"/>
    <w:rsid w:val="0064779F"/>
    <w:rsid w:val="00647B78"/>
    <w:rsid w:val="00647BAF"/>
    <w:rsid w:val="00647DBD"/>
    <w:rsid w:val="00650AB2"/>
    <w:rsid w:val="00650EAA"/>
    <w:rsid w:val="00651413"/>
    <w:rsid w:val="00652008"/>
    <w:rsid w:val="00653D47"/>
    <w:rsid w:val="006550CB"/>
    <w:rsid w:val="00656BFB"/>
    <w:rsid w:val="00656F54"/>
    <w:rsid w:val="0065755D"/>
    <w:rsid w:val="00660454"/>
    <w:rsid w:val="00661428"/>
    <w:rsid w:val="00662921"/>
    <w:rsid w:val="006634E9"/>
    <w:rsid w:val="00663525"/>
    <w:rsid w:val="00663710"/>
    <w:rsid w:val="00664CBF"/>
    <w:rsid w:val="006676D3"/>
    <w:rsid w:val="00667D08"/>
    <w:rsid w:val="00670439"/>
    <w:rsid w:val="00670A57"/>
    <w:rsid w:val="0067184A"/>
    <w:rsid w:val="00671C67"/>
    <w:rsid w:val="0067227F"/>
    <w:rsid w:val="006724DF"/>
    <w:rsid w:val="006724E8"/>
    <w:rsid w:val="00673D50"/>
    <w:rsid w:val="006743ED"/>
    <w:rsid w:val="006746AD"/>
    <w:rsid w:val="0067482D"/>
    <w:rsid w:val="00675E11"/>
    <w:rsid w:val="0067694C"/>
    <w:rsid w:val="00676D36"/>
    <w:rsid w:val="00677242"/>
    <w:rsid w:val="006778F3"/>
    <w:rsid w:val="006802A8"/>
    <w:rsid w:val="00680F19"/>
    <w:rsid w:val="006816F5"/>
    <w:rsid w:val="00682434"/>
    <w:rsid w:val="006826EE"/>
    <w:rsid w:val="006827AD"/>
    <w:rsid w:val="00683E4D"/>
    <w:rsid w:val="00684DB1"/>
    <w:rsid w:val="00685EB3"/>
    <w:rsid w:val="006870BD"/>
    <w:rsid w:val="006878E0"/>
    <w:rsid w:val="00687E0E"/>
    <w:rsid w:val="00691E96"/>
    <w:rsid w:val="00691F9D"/>
    <w:rsid w:val="00692E21"/>
    <w:rsid w:val="00693C17"/>
    <w:rsid w:val="006953D6"/>
    <w:rsid w:val="0069646D"/>
    <w:rsid w:val="00696F29"/>
    <w:rsid w:val="006A2D5B"/>
    <w:rsid w:val="006A417E"/>
    <w:rsid w:val="006A42FC"/>
    <w:rsid w:val="006A4C4A"/>
    <w:rsid w:val="006A66FC"/>
    <w:rsid w:val="006B054C"/>
    <w:rsid w:val="006B144C"/>
    <w:rsid w:val="006B2000"/>
    <w:rsid w:val="006B2982"/>
    <w:rsid w:val="006B5EAB"/>
    <w:rsid w:val="006B63B5"/>
    <w:rsid w:val="006B6B19"/>
    <w:rsid w:val="006B6EB9"/>
    <w:rsid w:val="006B7168"/>
    <w:rsid w:val="006B734E"/>
    <w:rsid w:val="006B798C"/>
    <w:rsid w:val="006B7DBF"/>
    <w:rsid w:val="006C1885"/>
    <w:rsid w:val="006C2FFD"/>
    <w:rsid w:val="006C3048"/>
    <w:rsid w:val="006C3A6E"/>
    <w:rsid w:val="006C3F9C"/>
    <w:rsid w:val="006C4148"/>
    <w:rsid w:val="006C445F"/>
    <w:rsid w:val="006C482A"/>
    <w:rsid w:val="006C5347"/>
    <w:rsid w:val="006C5FC6"/>
    <w:rsid w:val="006C6749"/>
    <w:rsid w:val="006C69B6"/>
    <w:rsid w:val="006C73AC"/>
    <w:rsid w:val="006D0F74"/>
    <w:rsid w:val="006D11BB"/>
    <w:rsid w:val="006D153E"/>
    <w:rsid w:val="006D19AC"/>
    <w:rsid w:val="006D2F92"/>
    <w:rsid w:val="006D4B15"/>
    <w:rsid w:val="006D4E02"/>
    <w:rsid w:val="006D5E0E"/>
    <w:rsid w:val="006D67DD"/>
    <w:rsid w:val="006D6D4C"/>
    <w:rsid w:val="006D78D4"/>
    <w:rsid w:val="006E04C7"/>
    <w:rsid w:val="006E0702"/>
    <w:rsid w:val="006E0CE2"/>
    <w:rsid w:val="006E0DB8"/>
    <w:rsid w:val="006E2A64"/>
    <w:rsid w:val="006E2E81"/>
    <w:rsid w:val="006E46F1"/>
    <w:rsid w:val="006E6406"/>
    <w:rsid w:val="006E6A9E"/>
    <w:rsid w:val="006F116D"/>
    <w:rsid w:val="006F2915"/>
    <w:rsid w:val="006F3470"/>
    <w:rsid w:val="006F3D8F"/>
    <w:rsid w:val="006F458F"/>
    <w:rsid w:val="006F5043"/>
    <w:rsid w:val="006F62F3"/>
    <w:rsid w:val="006F69F9"/>
    <w:rsid w:val="007002E0"/>
    <w:rsid w:val="007015D3"/>
    <w:rsid w:val="00703442"/>
    <w:rsid w:val="0070375B"/>
    <w:rsid w:val="00703911"/>
    <w:rsid w:val="00703BB6"/>
    <w:rsid w:val="0070404C"/>
    <w:rsid w:val="00704622"/>
    <w:rsid w:val="00705086"/>
    <w:rsid w:val="00705B78"/>
    <w:rsid w:val="00706A59"/>
    <w:rsid w:val="00707D41"/>
    <w:rsid w:val="00710948"/>
    <w:rsid w:val="00711AD6"/>
    <w:rsid w:val="00712621"/>
    <w:rsid w:val="0071312F"/>
    <w:rsid w:val="00713902"/>
    <w:rsid w:val="007155F8"/>
    <w:rsid w:val="00715C0B"/>
    <w:rsid w:val="00717B57"/>
    <w:rsid w:val="00717B61"/>
    <w:rsid w:val="00721599"/>
    <w:rsid w:val="00722070"/>
    <w:rsid w:val="0072244E"/>
    <w:rsid w:val="0072302E"/>
    <w:rsid w:val="0072344E"/>
    <w:rsid w:val="00723483"/>
    <w:rsid w:val="0072350B"/>
    <w:rsid w:val="007262F9"/>
    <w:rsid w:val="00727682"/>
    <w:rsid w:val="00727C76"/>
    <w:rsid w:val="00730588"/>
    <w:rsid w:val="00730F52"/>
    <w:rsid w:val="007313E8"/>
    <w:rsid w:val="0073161D"/>
    <w:rsid w:val="00731A4D"/>
    <w:rsid w:val="00732AD5"/>
    <w:rsid w:val="00733C9B"/>
    <w:rsid w:val="007346FC"/>
    <w:rsid w:val="00735279"/>
    <w:rsid w:val="007355A2"/>
    <w:rsid w:val="00736285"/>
    <w:rsid w:val="00736777"/>
    <w:rsid w:val="00736803"/>
    <w:rsid w:val="007373E8"/>
    <w:rsid w:val="00737412"/>
    <w:rsid w:val="00740A51"/>
    <w:rsid w:val="00740B58"/>
    <w:rsid w:val="00740D7A"/>
    <w:rsid w:val="00742B96"/>
    <w:rsid w:val="0074368E"/>
    <w:rsid w:val="007447B4"/>
    <w:rsid w:val="00745E25"/>
    <w:rsid w:val="00746D33"/>
    <w:rsid w:val="00747AAA"/>
    <w:rsid w:val="007510E7"/>
    <w:rsid w:val="007522CF"/>
    <w:rsid w:val="0075276A"/>
    <w:rsid w:val="007531DE"/>
    <w:rsid w:val="00753CC4"/>
    <w:rsid w:val="00754681"/>
    <w:rsid w:val="00754E6A"/>
    <w:rsid w:val="00756F20"/>
    <w:rsid w:val="00757009"/>
    <w:rsid w:val="00757413"/>
    <w:rsid w:val="00760082"/>
    <w:rsid w:val="007614C7"/>
    <w:rsid w:val="007616DE"/>
    <w:rsid w:val="00761824"/>
    <w:rsid w:val="00762E2F"/>
    <w:rsid w:val="0076432A"/>
    <w:rsid w:val="00764ABF"/>
    <w:rsid w:val="0076635F"/>
    <w:rsid w:val="00766618"/>
    <w:rsid w:val="00766853"/>
    <w:rsid w:val="007668E2"/>
    <w:rsid w:val="007671B5"/>
    <w:rsid w:val="00767FA4"/>
    <w:rsid w:val="00770422"/>
    <w:rsid w:val="00771721"/>
    <w:rsid w:val="00772974"/>
    <w:rsid w:val="00773381"/>
    <w:rsid w:val="00773DC4"/>
    <w:rsid w:val="007753E8"/>
    <w:rsid w:val="00775AAD"/>
    <w:rsid w:val="00776771"/>
    <w:rsid w:val="00777DFE"/>
    <w:rsid w:val="00781ABC"/>
    <w:rsid w:val="00782AF1"/>
    <w:rsid w:val="00782CB5"/>
    <w:rsid w:val="00785C7C"/>
    <w:rsid w:val="00786668"/>
    <w:rsid w:val="007876D8"/>
    <w:rsid w:val="0078791B"/>
    <w:rsid w:val="0079178D"/>
    <w:rsid w:val="00791B5A"/>
    <w:rsid w:val="007923DD"/>
    <w:rsid w:val="00792456"/>
    <w:rsid w:val="007963E1"/>
    <w:rsid w:val="00796AF2"/>
    <w:rsid w:val="00796B4E"/>
    <w:rsid w:val="007975C7"/>
    <w:rsid w:val="007A0192"/>
    <w:rsid w:val="007A15A4"/>
    <w:rsid w:val="007A26D6"/>
    <w:rsid w:val="007A28E1"/>
    <w:rsid w:val="007A51DF"/>
    <w:rsid w:val="007A7A31"/>
    <w:rsid w:val="007B018A"/>
    <w:rsid w:val="007B08EA"/>
    <w:rsid w:val="007B2E32"/>
    <w:rsid w:val="007B3BA3"/>
    <w:rsid w:val="007B50FF"/>
    <w:rsid w:val="007B582A"/>
    <w:rsid w:val="007B678B"/>
    <w:rsid w:val="007B71AD"/>
    <w:rsid w:val="007C00C6"/>
    <w:rsid w:val="007C03C2"/>
    <w:rsid w:val="007C206B"/>
    <w:rsid w:val="007C26C5"/>
    <w:rsid w:val="007C4347"/>
    <w:rsid w:val="007C4F5F"/>
    <w:rsid w:val="007C56AC"/>
    <w:rsid w:val="007C5CAD"/>
    <w:rsid w:val="007C60B8"/>
    <w:rsid w:val="007D3003"/>
    <w:rsid w:val="007D3873"/>
    <w:rsid w:val="007D5308"/>
    <w:rsid w:val="007D54DA"/>
    <w:rsid w:val="007D56E1"/>
    <w:rsid w:val="007E035B"/>
    <w:rsid w:val="007E0473"/>
    <w:rsid w:val="007E0E0F"/>
    <w:rsid w:val="007E3401"/>
    <w:rsid w:val="007E381B"/>
    <w:rsid w:val="007E4B6C"/>
    <w:rsid w:val="007E58E8"/>
    <w:rsid w:val="007E644C"/>
    <w:rsid w:val="007E6A83"/>
    <w:rsid w:val="007F04CB"/>
    <w:rsid w:val="007F08E1"/>
    <w:rsid w:val="007F241A"/>
    <w:rsid w:val="007F2AEB"/>
    <w:rsid w:val="007F34F1"/>
    <w:rsid w:val="007F3D7E"/>
    <w:rsid w:val="007F4E09"/>
    <w:rsid w:val="007F4E6E"/>
    <w:rsid w:val="007F569F"/>
    <w:rsid w:val="007F5F13"/>
    <w:rsid w:val="00801385"/>
    <w:rsid w:val="008019D3"/>
    <w:rsid w:val="00802B13"/>
    <w:rsid w:val="00803286"/>
    <w:rsid w:val="00803FF8"/>
    <w:rsid w:val="00804449"/>
    <w:rsid w:val="00805365"/>
    <w:rsid w:val="008067B3"/>
    <w:rsid w:val="00810A70"/>
    <w:rsid w:val="00811370"/>
    <w:rsid w:val="008129CE"/>
    <w:rsid w:val="00813D9F"/>
    <w:rsid w:val="008141FF"/>
    <w:rsid w:val="008150D6"/>
    <w:rsid w:val="00815955"/>
    <w:rsid w:val="00816E57"/>
    <w:rsid w:val="00820086"/>
    <w:rsid w:val="0082042E"/>
    <w:rsid w:val="008211AF"/>
    <w:rsid w:val="008216C4"/>
    <w:rsid w:val="00822076"/>
    <w:rsid w:val="00822210"/>
    <w:rsid w:val="00823260"/>
    <w:rsid w:val="008248BD"/>
    <w:rsid w:val="00825668"/>
    <w:rsid w:val="0082685F"/>
    <w:rsid w:val="00827C29"/>
    <w:rsid w:val="0083331F"/>
    <w:rsid w:val="00834971"/>
    <w:rsid w:val="0083522A"/>
    <w:rsid w:val="00835DB1"/>
    <w:rsid w:val="00835E74"/>
    <w:rsid w:val="0083733C"/>
    <w:rsid w:val="00837B22"/>
    <w:rsid w:val="008403A2"/>
    <w:rsid w:val="0084084F"/>
    <w:rsid w:val="00840AAB"/>
    <w:rsid w:val="00841B99"/>
    <w:rsid w:val="00842E04"/>
    <w:rsid w:val="00843E17"/>
    <w:rsid w:val="00846E84"/>
    <w:rsid w:val="00846FAD"/>
    <w:rsid w:val="0085059B"/>
    <w:rsid w:val="008509D7"/>
    <w:rsid w:val="00852787"/>
    <w:rsid w:val="00852846"/>
    <w:rsid w:val="008536A9"/>
    <w:rsid w:val="00855FC3"/>
    <w:rsid w:val="008568F7"/>
    <w:rsid w:val="008575C8"/>
    <w:rsid w:val="0085764D"/>
    <w:rsid w:val="008577AD"/>
    <w:rsid w:val="00857BD9"/>
    <w:rsid w:val="00860145"/>
    <w:rsid w:val="00860ED4"/>
    <w:rsid w:val="00861681"/>
    <w:rsid w:val="008616AE"/>
    <w:rsid w:val="00861FC1"/>
    <w:rsid w:val="008632D7"/>
    <w:rsid w:val="00863E7D"/>
    <w:rsid w:val="00865609"/>
    <w:rsid w:val="008663EE"/>
    <w:rsid w:val="008666D2"/>
    <w:rsid w:val="00866E78"/>
    <w:rsid w:val="008675C6"/>
    <w:rsid w:val="008675E1"/>
    <w:rsid w:val="00867F46"/>
    <w:rsid w:val="00872C38"/>
    <w:rsid w:val="008765B4"/>
    <w:rsid w:val="008767C5"/>
    <w:rsid w:val="00876F9C"/>
    <w:rsid w:val="008775FB"/>
    <w:rsid w:val="008801BA"/>
    <w:rsid w:val="00880B76"/>
    <w:rsid w:val="00881549"/>
    <w:rsid w:val="0088237C"/>
    <w:rsid w:val="00883668"/>
    <w:rsid w:val="00883AC1"/>
    <w:rsid w:val="00883FE3"/>
    <w:rsid w:val="00884AB6"/>
    <w:rsid w:val="00885D9E"/>
    <w:rsid w:val="00886444"/>
    <w:rsid w:val="008872A7"/>
    <w:rsid w:val="00887720"/>
    <w:rsid w:val="008878E9"/>
    <w:rsid w:val="00887F32"/>
    <w:rsid w:val="00887FAF"/>
    <w:rsid w:val="008924F5"/>
    <w:rsid w:val="00892D13"/>
    <w:rsid w:val="0089553D"/>
    <w:rsid w:val="00895F46"/>
    <w:rsid w:val="00896202"/>
    <w:rsid w:val="008A4025"/>
    <w:rsid w:val="008A45A4"/>
    <w:rsid w:val="008A46CD"/>
    <w:rsid w:val="008A51FA"/>
    <w:rsid w:val="008A635B"/>
    <w:rsid w:val="008A6BA4"/>
    <w:rsid w:val="008A6F41"/>
    <w:rsid w:val="008B0FE0"/>
    <w:rsid w:val="008B136C"/>
    <w:rsid w:val="008B13C9"/>
    <w:rsid w:val="008B2FF6"/>
    <w:rsid w:val="008B53B9"/>
    <w:rsid w:val="008B5989"/>
    <w:rsid w:val="008B5C3D"/>
    <w:rsid w:val="008B5DC1"/>
    <w:rsid w:val="008B6812"/>
    <w:rsid w:val="008C033D"/>
    <w:rsid w:val="008C1096"/>
    <w:rsid w:val="008C2E1F"/>
    <w:rsid w:val="008C3E19"/>
    <w:rsid w:val="008C3E6F"/>
    <w:rsid w:val="008C4352"/>
    <w:rsid w:val="008C4A77"/>
    <w:rsid w:val="008C4FBD"/>
    <w:rsid w:val="008C53D5"/>
    <w:rsid w:val="008C5B12"/>
    <w:rsid w:val="008C66C2"/>
    <w:rsid w:val="008C76FD"/>
    <w:rsid w:val="008C7E0F"/>
    <w:rsid w:val="008D2302"/>
    <w:rsid w:val="008D2469"/>
    <w:rsid w:val="008D2BE1"/>
    <w:rsid w:val="008D36DA"/>
    <w:rsid w:val="008D5078"/>
    <w:rsid w:val="008D5E81"/>
    <w:rsid w:val="008D7242"/>
    <w:rsid w:val="008E04E1"/>
    <w:rsid w:val="008E1B14"/>
    <w:rsid w:val="008E2D45"/>
    <w:rsid w:val="008E2E4A"/>
    <w:rsid w:val="008E2EFD"/>
    <w:rsid w:val="008E31AD"/>
    <w:rsid w:val="008E3734"/>
    <w:rsid w:val="008E3895"/>
    <w:rsid w:val="008E3D56"/>
    <w:rsid w:val="008E4016"/>
    <w:rsid w:val="008E490D"/>
    <w:rsid w:val="008E6F99"/>
    <w:rsid w:val="008E72C2"/>
    <w:rsid w:val="008E7695"/>
    <w:rsid w:val="008E78DC"/>
    <w:rsid w:val="008F02C4"/>
    <w:rsid w:val="008F2501"/>
    <w:rsid w:val="008F2D8E"/>
    <w:rsid w:val="008F2EA9"/>
    <w:rsid w:val="008F3A5D"/>
    <w:rsid w:val="008F45AD"/>
    <w:rsid w:val="008F680C"/>
    <w:rsid w:val="008F7C9D"/>
    <w:rsid w:val="009030D0"/>
    <w:rsid w:val="00903480"/>
    <w:rsid w:val="00904968"/>
    <w:rsid w:val="00904CDC"/>
    <w:rsid w:val="00905479"/>
    <w:rsid w:val="009057E8"/>
    <w:rsid w:val="00905BE3"/>
    <w:rsid w:val="0090606D"/>
    <w:rsid w:val="00911029"/>
    <w:rsid w:val="009116CD"/>
    <w:rsid w:val="00911787"/>
    <w:rsid w:val="00912371"/>
    <w:rsid w:val="00913680"/>
    <w:rsid w:val="0091453C"/>
    <w:rsid w:val="00914902"/>
    <w:rsid w:val="00915D47"/>
    <w:rsid w:val="00920D66"/>
    <w:rsid w:val="009212FD"/>
    <w:rsid w:val="009216EF"/>
    <w:rsid w:val="00922BD4"/>
    <w:rsid w:val="0092396E"/>
    <w:rsid w:val="00923A48"/>
    <w:rsid w:val="009244CC"/>
    <w:rsid w:val="00924AAB"/>
    <w:rsid w:val="0092508E"/>
    <w:rsid w:val="00925D5E"/>
    <w:rsid w:val="00926140"/>
    <w:rsid w:val="0092670D"/>
    <w:rsid w:val="00926A97"/>
    <w:rsid w:val="00927769"/>
    <w:rsid w:val="00927849"/>
    <w:rsid w:val="00927B72"/>
    <w:rsid w:val="00933159"/>
    <w:rsid w:val="00933A2D"/>
    <w:rsid w:val="009376A6"/>
    <w:rsid w:val="00937DD3"/>
    <w:rsid w:val="00937E18"/>
    <w:rsid w:val="009403A4"/>
    <w:rsid w:val="00941A9A"/>
    <w:rsid w:val="00942AC1"/>
    <w:rsid w:val="0094578A"/>
    <w:rsid w:val="0094664B"/>
    <w:rsid w:val="0094731B"/>
    <w:rsid w:val="009474D3"/>
    <w:rsid w:val="009476AF"/>
    <w:rsid w:val="00947D16"/>
    <w:rsid w:val="00947DBE"/>
    <w:rsid w:val="00947DD9"/>
    <w:rsid w:val="00947ECD"/>
    <w:rsid w:val="00947FA3"/>
    <w:rsid w:val="00950912"/>
    <w:rsid w:val="0095107E"/>
    <w:rsid w:val="00951BCD"/>
    <w:rsid w:val="009520E9"/>
    <w:rsid w:val="009531B7"/>
    <w:rsid w:val="00954623"/>
    <w:rsid w:val="00956FCF"/>
    <w:rsid w:val="009572C4"/>
    <w:rsid w:val="0095760A"/>
    <w:rsid w:val="00960272"/>
    <w:rsid w:val="00960398"/>
    <w:rsid w:val="00962449"/>
    <w:rsid w:val="00962CFD"/>
    <w:rsid w:val="00963425"/>
    <w:rsid w:val="00964D08"/>
    <w:rsid w:val="009660B4"/>
    <w:rsid w:val="009669E1"/>
    <w:rsid w:val="00971686"/>
    <w:rsid w:val="00973470"/>
    <w:rsid w:val="00973B12"/>
    <w:rsid w:val="00974AF1"/>
    <w:rsid w:val="0097542B"/>
    <w:rsid w:val="00975945"/>
    <w:rsid w:val="00976CBD"/>
    <w:rsid w:val="009771AB"/>
    <w:rsid w:val="00977376"/>
    <w:rsid w:val="009804FA"/>
    <w:rsid w:val="009810A9"/>
    <w:rsid w:val="0098182A"/>
    <w:rsid w:val="009824FB"/>
    <w:rsid w:val="00985307"/>
    <w:rsid w:val="00987729"/>
    <w:rsid w:val="009903F9"/>
    <w:rsid w:val="009904BA"/>
    <w:rsid w:val="00992096"/>
    <w:rsid w:val="009924AA"/>
    <w:rsid w:val="00992EDB"/>
    <w:rsid w:val="009945D0"/>
    <w:rsid w:val="00995455"/>
    <w:rsid w:val="009967A2"/>
    <w:rsid w:val="009967B4"/>
    <w:rsid w:val="009967F5"/>
    <w:rsid w:val="00996C1C"/>
    <w:rsid w:val="00996C33"/>
    <w:rsid w:val="009A075E"/>
    <w:rsid w:val="009A10D8"/>
    <w:rsid w:val="009A15CD"/>
    <w:rsid w:val="009A1CFE"/>
    <w:rsid w:val="009A29E2"/>
    <w:rsid w:val="009A4540"/>
    <w:rsid w:val="009A4A8E"/>
    <w:rsid w:val="009A5F8B"/>
    <w:rsid w:val="009A6702"/>
    <w:rsid w:val="009A74FA"/>
    <w:rsid w:val="009B00DD"/>
    <w:rsid w:val="009B244D"/>
    <w:rsid w:val="009B2908"/>
    <w:rsid w:val="009B3FEA"/>
    <w:rsid w:val="009B4019"/>
    <w:rsid w:val="009B5421"/>
    <w:rsid w:val="009B7AD2"/>
    <w:rsid w:val="009C0294"/>
    <w:rsid w:val="009C13BA"/>
    <w:rsid w:val="009C269F"/>
    <w:rsid w:val="009C2F74"/>
    <w:rsid w:val="009C3407"/>
    <w:rsid w:val="009C6286"/>
    <w:rsid w:val="009D0326"/>
    <w:rsid w:val="009D08A4"/>
    <w:rsid w:val="009D0CC5"/>
    <w:rsid w:val="009D1DD7"/>
    <w:rsid w:val="009D2B6D"/>
    <w:rsid w:val="009D4F1D"/>
    <w:rsid w:val="009D580C"/>
    <w:rsid w:val="009D5926"/>
    <w:rsid w:val="009D5EDC"/>
    <w:rsid w:val="009D7B2E"/>
    <w:rsid w:val="009E13EE"/>
    <w:rsid w:val="009E1B2C"/>
    <w:rsid w:val="009E40DB"/>
    <w:rsid w:val="009E4DAB"/>
    <w:rsid w:val="009E5E45"/>
    <w:rsid w:val="009E718D"/>
    <w:rsid w:val="009E77D7"/>
    <w:rsid w:val="009F02A6"/>
    <w:rsid w:val="009F0D5F"/>
    <w:rsid w:val="009F208E"/>
    <w:rsid w:val="009F2171"/>
    <w:rsid w:val="009F2A4D"/>
    <w:rsid w:val="009F2CF0"/>
    <w:rsid w:val="009F37A8"/>
    <w:rsid w:val="009F4674"/>
    <w:rsid w:val="009F5873"/>
    <w:rsid w:val="009F63FA"/>
    <w:rsid w:val="009F6F30"/>
    <w:rsid w:val="00A00142"/>
    <w:rsid w:val="00A00582"/>
    <w:rsid w:val="00A01704"/>
    <w:rsid w:val="00A018AE"/>
    <w:rsid w:val="00A04AE9"/>
    <w:rsid w:val="00A04D0D"/>
    <w:rsid w:val="00A0582A"/>
    <w:rsid w:val="00A06BDB"/>
    <w:rsid w:val="00A06D22"/>
    <w:rsid w:val="00A06E1B"/>
    <w:rsid w:val="00A07CD3"/>
    <w:rsid w:val="00A07F1A"/>
    <w:rsid w:val="00A12548"/>
    <w:rsid w:val="00A12C26"/>
    <w:rsid w:val="00A12FE0"/>
    <w:rsid w:val="00A1365B"/>
    <w:rsid w:val="00A156F3"/>
    <w:rsid w:val="00A1659D"/>
    <w:rsid w:val="00A20686"/>
    <w:rsid w:val="00A20AC3"/>
    <w:rsid w:val="00A20F77"/>
    <w:rsid w:val="00A23090"/>
    <w:rsid w:val="00A23505"/>
    <w:rsid w:val="00A23560"/>
    <w:rsid w:val="00A23E62"/>
    <w:rsid w:val="00A25872"/>
    <w:rsid w:val="00A261AE"/>
    <w:rsid w:val="00A264D3"/>
    <w:rsid w:val="00A264D9"/>
    <w:rsid w:val="00A26992"/>
    <w:rsid w:val="00A279A3"/>
    <w:rsid w:val="00A30059"/>
    <w:rsid w:val="00A300CC"/>
    <w:rsid w:val="00A30906"/>
    <w:rsid w:val="00A30B0A"/>
    <w:rsid w:val="00A31E69"/>
    <w:rsid w:val="00A33449"/>
    <w:rsid w:val="00A343A2"/>
    <w:rsid w:val="00A35F55"/>
    <w:rsid w:val="00A364E7"/>
    <w:rsid w:val="00A378F1"/>
    <w:rsid w:val="00A3790D"/>
    <w:rsid w:val="00A40016"/>
    <w:rsid w:val="00A416DE"/>
    <w:rsid w:val="00A417F2"/>
    <w:rsid w:val="00A4198C"/>
    <w:rsid w:val="00A44458"/>
    <w:rsid w:val="00A44604"/>
    <w:rsid w:val="00A44AE8"/>
    <w:rsid w:val="00A45B35"/>
    <w:rsid w:val="00A45C32"/>
    <w:rsid w:val="00A45D8C"/>
    <w:rsid w:val="00A470F3"/>
    <w:rsid w:val="00A47923"/>
    <w:rsid w:val="00A50062"/>
    <w:rsid w:val="00A521DD"/>
    <w:rsid w:val="00A53125"/>
    <w:rsid w:val="00A55306"/>
    <w:rsid w:val="00A556B4"/>
    <w:rsid w:val="00A558A0"/>
    <w:rsid w:val="00A604D5"/>
    <w:rsid w:val="00A60C4A"/>
    <w:rsid w:val="00A6286D"/>
    <w:rsid w:val="00A64746"/>
    <w:rsid w:val="00A6540F"/>
    <w:rsid w:val="00A66083"/>
    <w:rsid w:val="00A66DA3"/>
    <w:rsid w:val="00A6776D"/>
    <w:rsid w:val="00A71276"/>
    <w:rsid w:val="00A71AE0"/>
    <w:rsid w:val="00A725F3"/>
    <w:rsid w:val="00A72EC1"/>
    <w:rsid w:val="00A735C2"/>
    <w:rsid w:val="00A75035"/>
    <w:rsid w:val="00A756DF"/>
    <w:rsid w:val="00A756E2"/>
    <w:rsid w:val="00A77785"/>
    <w:rsid w:val="00A80F6F"/>
    <w:rsid w:val="00A81091"/>
    <w:rsid w:val="00A81811"/>
    <w:rsid w:val="00A81C50"/>
    <w:rsid w:val="00A832B3"/>
    <w:rsid w:val="00A84F6B"/>
    <w:rsid w:val="00A85055"/>
    <w:rsid w:val="00A85960"/>
    <w:rsid w:val="00A8754F"/>
    <w:rsid w:val="00A9059E"/>
    <w:rsid w:val="00A911A8"/>
    <w:rsid w:val="00A91385"/>
    <w:rsid w:val="00A91B41"/>
    <w:rsid w:val="00A91DD3"/>
    <w:rsid w:val="00A92BCB"/>
    <w:rsid w:val="00A95A18"/>
    <w:rsid w:val="00A95EB6"/>
    <w:rsid w:val="00A97356"/>
    <w:rsid w:val="00A97CD0"/>
    <w:rsid w:val="00AA0663"/>
    <w:rsid w:val="00AA0E1B"/>
    <w:rsid w:val="00AA1032"/>
    <w:rsid w:val="00AA189C"/>
    <w:rsid w:val="00AA1AE7"/>
    <w:rsid w:val="00AA1BA1"/>
    <w:rsid w:val="00AA26DC"/>
    <w:rsid w:val="00AA5230"/>
    <w:rsid w:val="00AB0912"/>
    <w:rsid w:val="00AB0EDC"/>
    <w:rsid w:val="00AB1291"/>
    <w:rsid w:val="00AB2109"/>
    <w:rsid w:val="00AB3DB2"/>
    <w:rsid w:val="00AB45BD"/>
    <w:rsid w:val="00AB48D5"/>
    <w:rsid w:val="00AB4F0A"/>
    <w:rsid w:val="00AB4F16"/>
    <w:rsid w:val="00AB5F2F"/>
    <w:rsid w:val="00AB6CE7"/>
    <w:rsid w:val="00AB6EA7"/>
    <w:rsid w:val="00AB6EE6"/>
    <w:rsid w:val="00AB7A9F"/>
    <w:rsid w:val="00AB7AD8"/>
    <w:rsid w:val="00AC0366"/>
    <w:rsid w:val="00AC0765"/>
    <w:rsid w:val="00AC0804"/>
    <w:rsid w:val="00AC10CC"/>
    <w:rsid w:val="00AC1E35"/>
    <w:rsid w:val="00AC1E89"/>
    <w:rsid w:val="00AC370A"/>
    <w:rsid w:val="00AC3A02"/>
    <w:rsid w:val="00AC4E85"/>
    <w:rsid w:val="00AC5409"/>
    <w:rsid w:val="00AC7BB7"/>
    <w:rsid w:val="00AC7FF6"/>
    <w:rsid w:val="00AD0168"/>
    <w:rsid w:val="00AD02C9"/>
    <w:rsid w:val="00AD0375"/>
    <w:rsid w:val="00AD4483"/>
    <w:rsid w:val="00AD4875"/>
    <w:rsid w:val="00AD5F8B"/>
    <w:rsid w:val="00AE0655"/>
    <w:rsid w:val="00AE0E1A"/>
    <w:rsid w:val="00AE2358"/>
    <w:rsid w:val="00AE2E1F"/>
    <w:rsid w:val="00AE31D5"/>
    <w:rsid w:val="00AE3565"/>
    <w:rsid w:val="00AE36B4"/>
    <w:rsid w:val="00AE48E6"/>
    <w:rsid w:val="00AE4928"/>
    <w:rsid w:val="00AE57DB"/>
    <w:rsid w:val="00AE6225"/>
    <w:rsid w:val="00AE6D75"/>
    <w:rsid w:val="00AF02F9"/>
    <w:rsid w:val="00AF087E"/>
    <w:rsid w:val="00AF1155"/>
    <w:rsid w:val="00AF4031"/>
    <w:rsid w:val="00AF4708"/>
    <w:rsid w:val="00AF5263"/>
    <w:rsid w:val="00AF7BFB"/>
    <w:rsid w:val="00B00D56"/>
    <w:rsid w:val="00B01B76"/>
    <w:rsid w:val="00B01F7C"/>
    <w:rsid w:val="00B0324B"/>
    <w:rsid w:val="00B047CB"/>
    <w:rsid w:val="00B06675"/>
    <w:rsid w:val="00B06781"/>
    <w:rsid w:val="00B06DC7"/>
    <w:rsid w:val="00B1138B"/>
    <w:rsid w:val="00B131EC"/>
    <w:rsid w:val="00B14EF8"/>
    <w:rsid w:val="00B1504D"/>
    <w:rsid w:val="00B15AD5"/>
    <w:rsid w:val="00B166C2"/>
    <w:rsid w:val="00B21B07"/>
    <w:rsid w:val="00B220B1"/>
    <w:rsid w:val="00B2222F"/>
    <w:rsid w:val="00B22CE1"/>
    <w:rsid w:val="00B2334B"/>
    <w:rsid w:val="00B23CAB"/>
    <w:rsid w:val="00B243AF"/>
    <w:rsid w:val="00B24F46"/>
    <w:rsid w:val="00B265FC"/>
    <w:rsid w:val="00B271FF"/>
    <w:rsid w:val="00B27557"/>
    <w:rsid w:val="00B30545"/>
    <w:rsid w:val="00B30B9E"/>
    <w:rsid w:val="00B310D0"/>
    <w:rsid w:val="00B323E7"/>
    <w:rsid w:val="00B32C79"/>
    <w:rsid w:val="00B33317"/>
    <w:rsid w:val="00B34385"/>
    <w:rsid w:val="00B348B9"/>
    <w:rsid w:val="00B35AA7"/>
    <w:rsid w:val="00B364F7"/>
    <w:rsid w:val="00B404D6"/>
    <w:rsid w:val="00B4094C"/>
    <w:rsid w:val="00B427C1"/>
    <w:rsid w:val="00B4352C"/>
    <w:rsid w:val="00B43905"/>
    <w:rsid w:val="00B43CDD"/>
    <w:rsid w:val="00B444A8"/>
    <w:rsid w:val="00B44FB6"/>
    <w:rsid w:val="00B457DE"/>
    <w:rsid w:val="00B458C1"/>
    <w:rsid w:val="00B52587"/>
    <w:rsid w:val="00B529BE"/>
    <w:rsid w:val="00B54B81"/>
    <w:rsid w:val="00B5563B"/>
    <w:rsid w:val="00B56C16"/>
    <w:rsid w:val="00B579F6"/>
    <w:rsid w:val="00B57B80"/>
    <w:rsid w:val="00B60128"/>
    <w:rsid w:val="00B601DE"/>
    <w:rsid w:val="00B60AD4"/>
    <w:rsid w:val="00B61A21"/>
    <w:rsid w:val="00B6204C"/>
    <w:rsid w:val="00B624E4"/>
    <w:rsid w:val="00B625D9"/>
    <w:rsid w:val="00B6353B"/>
    <w:rsid w:val="00B649F7"/>
    <w:rsid w:val="00B65661"/>
    <w:rsid w:val="00B664EB"/>
    <w:rsid w:val="00B66F27"/>
    <w:rsid w:val="00B71DC9"/>
    <w:rsid w:val="00B726B6"/>
    <w:rsid w:val="00B72F8E"/>
    <w:rsid w:val="00B744AE"/>
    <w:rsid w:val="00B74E83"/>
    <w:rsid w:val="00B752EC"/>
    <w:rsid w:val="00B75F14"/>
    <w:rsid w:val="00B761E6"/>
    <w:rsid w:val="00B76BAA"/>
    <w:rsid w:val="00B77F31"/>
    <w:rsid w:val="00B8088E"/>
    <w:rsid w:val="00B81AB5"/>
    <w:rsid w:val="00B81E25"/>
    <w:rsid w:val="00B83511"/>
    <w:rsid w:val="00B8395E"/>
    <w:rsid w:val="00B84883"/>
    <w:rsid w:val="00B86F4A"/>
    <w:rsid w:val="00B87F75"/>
    <w:rsid w:val="00B91A0E"/>
    <w:rsid w:val="00B927E0"/>
    <w:rsid w:val="00B92CB7"/>
    <w:rsid w:val="00B942A6"/>
    <w:rsid w:val="00B96D08"/>
    <w:rsid w:val="00B97A8E"/>
    <w:rsid w:val="00BA0348"/>
    <w:rsid w:val="00BA1B91"/>
    <w:rsid w:val="00BA1F24"/>
    <w:rsid w:val="00BA214C"/>
    <w:rsid w:val="00BA2A4B"/>
    <w:rsid w:val="00BA551C"/>
    <w:rsid w:val="00BA5BB2"/>
    <w:rsid w:val="00BA5BEF"/>
    <w:rsid w:val="00BA5CE1"/>
    <w:rsid w:val="00BA7621"/>
    <w:rsid w:val="00BB1D72"/>
    <w:rsid w:val="00BB2579"/>
    <w:rsid w:val="00BB2FC8"/>
    <w:rsid w:val="00BB4326"/>
    <w:rsid w:val="00BB4A7D"/>
    <w:rsid w:val="00BB52A0"/>
    <w:rsid w:val="00BB5943"/>
    <w:rsid w:val="00BB6749"/>
    <w:rsid w:val="00BB6B6B"/>
    <w:rsid w:val="00BC1397"/>
    <w:rsid w:val="00BC1C78"/>
    <w:rsid w:val="00BC2463"/>
    <w:rsid w:val="00BC2A8B"/>
    <w:rsid w:val="00BC2FC7"/>
    <w:rsid w:val="00BC5B07"/>
    <w:rsid w:val="00BC67F4"/>
    <w:rsid w:val="00BD0582"/>
    <w:rsid w:val="00BD0DD6"/>
    <w:rsid w:val="00BD6FB2"/>
    <w:rsid w:val="00BD7150"/>
    <w:rsid w:val="00BD71EA"/>
    <w:rsid w:val="00BD7336"/>
    <w:rsid w:val="00BD7521"/>
    <w:rsid w:val="00BD7595"/>
    <w:rsid w:val="00BE0BBE"/>
    <w:rsid w:val="00BE0EAC"/>
    <w:rsid w:val="00BE1CB1"/>
    <w:rsid w:val="00BE1F71"/>
    <w:rsid w:val="00BE2793"/>
    <w:rsid w:val="00BE282A"/>
    <w:rsid w:val="00BE379F"/>
    <w:rsid w:val="00BE39EE"/>
    <w:rsid w:val="00BE42BA"/>
    <w:rsid w:val="00BE49C7"/>
    <w:rsid w:val="00BE591F"/>
    <w:rsid w:val="00BE5955"/>
    <w:rsid w:val="00BE6B98"/>
    <w:rsid w:val="00BF2A7C"/>
    <w:rsid w:val="00BF52C8"/>
    <w:rsid w:val="00BF5D5F"/>
    <w:rsid w:val="00BF6034"/>
    <w:rsid w:val="00BF6C9C"/>
    <w:rsid w:val="00BF7F83"/>
    <w:rsid w:val="00C00C18"/>
    <w:rsid w:val="00C014E2"/>
    <w:rsid w:val="00C025E8"/>
    <w:rsid w:val="00C02BFB"/>
    <w:rsid w:val="00C0315A"/>
    <w:rsid w:val="00C03DF4"/>
    <w:rsid w:val="00C04013"/>
    <w:rsid w:val="00C046EA"/>
    <w:rsid w:val="00C05385"/>
    <w:rsid w:val="00C05415"/>
    <w:rsid w:val="00C057E0"/>
    <w:rsid w:val="00C0673B"/>
    <w:rsid w:val="00C0689E"/>
    <w:rsid w:val="00C07B5B"/>
    <w:rsid w:val="00C07BE4"/>
    <w:rsid w:val="00C1049B"/>
    <w:rsid w:val="00C11936"/>
    <w:rsid w:val="00C11F25"/>
    <w:rsid w:val="00C130DF"/>
    <w:rsid w:val="00C13422"/>
    <w:rsid w:val="00C14951"/>
    <w:rsid w:val="00C14C32"/>
    <w:rsid w:val="00C1563E"/>
    <w:rsid w:val="00C15748"/>
    <w:rsid w:val="00C160A7"/>
    <w:rsid w:val="00C171E0"/>
    <w:rsid w:val="00C20FF5"/>
    <w:rsid w:val="00C212EC"/>
    <w:rsid w:val="00C214A0"/>
    <w:rsid w:val="00C2152D"/>
    <w:rsid w:val="00C23874"/>
    <w:rsid w:val="00C23C2B"/>
    <w:rsid w:val="00C250CB"/>
    <w:rsid w:val="00C2683F"/>
    <w:rsid w:val="00C26A33"/>
    <w:rsid w:val="00C31899"/>
    <w:rsid w:val="00C34509"/>
    <w:rsid w:val="00C34933"/>
    <w:rsid w:val="00C34D9B"/>
    <w:rsid w:val="00C35518"/>
    <w:rsid w:val="00C35BBD"/>
    <w:rsid w:val="00C35E17"/>
    <w:rsid w:val="00C3767B"/>
    <w:rsid w:val="00C379A4"/>
    <w:rsid w:val="00C37C15"/>
    <w:rsid w:val="00C4135E"/>
    <w:rsid w:val="00C41C30"/>
    <w:rsid w:val="00C41D67"/>
    <w:rsid w:val="00C437AD"/>
    <w:rsid w:val="00C4648D"/>
    <w:rsid w:val="00C46862"/>
    <w:rsid w:val="00C47294"/>
    <w:rsid w:val="00C47E45"/>
    <w:rsid w:val="00C50B32"/>
    <w:rsid w:val="00C51005"/>
    <w:rsid w:val="00C51480"/>
    <w:rsid w:val="00C518C6"/>
    <w:rsid w:val="00C51F06"/>
    <w:rsid w:val="00C521C3"/>
    <w:rsid w:val="00C53451"/>
    <w:rsid w:val="00C55A78"/>
    <w:rsid w:val="00C5748D"/>
    <w:rsid w:val="00C5764E"/>
    <w:rsid w:val="00C578B7"/>
    <w:rsid w:val="00C57ABF"/>
    <w:rsid w:val="00C603CB"/>
    <w:rsid w:val="00C63D6C"/>
    <w:rsid w:val="00C661B5"/>
    <w:rsid w:val="00C66543"/>
    <w:rsid w:val="00C67D6B"/>
    <w:rsid w:val="00C7035E"/>
    <w:rsid w:val="00C70EE7"/>
    <w:rsid w:val="00C7112A"/>
    <w:rsid w:val="00C71BC1"/>
    <w:rsid w:val="00C71F0F"/>
    <w:rsid w:val="00C7350F"/>
    <w:rsid w:val="00C7375E"/>
    <w:rsid w:val="00C73EC9"/>
    <w:rsid w:val="00C743D5"/>
    <w:rsid w:val="00C75BDC"/>
    <w:rsid w:val="00C76D65"/>
    <w:rsid w:val="00C76DB1"/>
    <w:rsid w:val="00C7774F"/>
    <w:rsid w:val="00C778C8"/>
    <w:rsid w:val="00C80CF6"/>
    <w:rsid w:val="00C80DF0"/>
    <w:rsid w:val="00C819E0"/>
    <w:rsid w:val="00C82CB3"/>
    <w:rsid w:val="00C8424C"/>
    <w:rsid w:val="00C84E05"/>
    <w:rsid w:val="00C84F00"/>
    <w:rsid w:val="00C855C9"/>
    <w:rsid w:val="00C87389"/>
    <w:rsid w:val="00C87EDE"/>
    <w:rsid w:val="00C90889"/>
    <w:rsid w:val="00C90A6F"/>
    <w:rsid w:val="00C91DD0"/>
    <w:rsid w:val="00C923A7"/>
    <w:rsid w:val="00C93082"/>
    <w:rsid w:val="00C93229"/>
    <w:rsid w:val="00C93C6B"/>
    <w:rsid w:val="00C9441D"/>
    <w:rsid w:val="00C94B13"/>
    <w:rsid w:val="00C95654"/>
    <w:rsid w:val="00C95E63"/>
    <w:rsid w:val="00C97618"/>
    <w:rsid w:val="00CA0BC2"/>
    <w:rsid w:val="00CA1455"/>
    <w:rsid w:val="00CA1595"/>
    <w:rsid w:val="00CA1F62"/>
    <w:rsid w:val="00CA23E2"/>
    <w:rsid w:val="00CA2800"/>
    <w:rsid w:val="00CA2F37"/>
    <w:rsid w:val="00CA3DAB"/>
    <w:rsid w:val="00CA4465"/>
    <w:rsid w:val="00CA4561"/>
    <w:rsid w:val="00CA483A"/>
    <w:rsid w:val="00CA5164"/>
    <w:rsid w:val="00CA52A7"/>
    <w:rsid w:val="00CA5BF5"/>
    <w:rsid w:val="00CA7321"/>
    <w:rsid w:val="00CA7C16"/>
    <w:rsid w:val="00CB191F"/>
    <w:rsid w:val="00CB1D0A"/>
    <w:rsid w:val="00CB2E71"/>
    <w:rsid w:val="00CB4574"/>
    <w:rsid w:val="00CB4E54"/>
    <w:rsid w:val="00CB5107"/>
    <w:rsid w:val="00CB596D"/>
    <w:rsid w:val="00CB5F26"/>
    <w:rsid w:val="00CB6426"/>
    <w:rsid w:val="00CB6B15"/>
    <w:rsid w:val="00CB7875"/>
    <w:rsid w:val="00CC18D7"/>
    <w:rsid w:val="00CC1DEF"/>
    <w:rsid w:val="00CC5BAE"/>
    <w:rsid w:val="00CC5F8E"/>
    <w:rsid w:val="00CC737C"/>
    <w:rsid w:val="00CD3495"/>
    <w:rsid w:val="00CD3AEA"/>
    <w:rsid w:val="00CD3C8F"/>
    <w:rsid w:val="00CD491E"/>
    <w:rsid w:val="00CD4EB9"/>
    <w:rsid w:val="00CD521A"/>
    <w:rsid w:val="00CD5A41"/>
    <w:rsid w:val="00CD6001"/>
    <w:rsid w:val="00CD60C6"/>
    <w:rsid w:val="00CD6864"/>
    <w:rsid w:val="00CD6D75"/>
    <w:rsid w:val="00CE0095"/>
    <w:rsid w:val="00CE038A"/>
    <w:rsid w:val="00CE0E30"/>
    <w:rsid w:val="00CE0F30"/>
    <w:rsid w:val="00CE11A4"/>
    <w:rsid w:val="00CE25A4"/>
    <w:rsid w:val="00CE3A8A"/>
    <w:rsid w:val="00CE3C98"/>
    <w:rsid w:val="00CE4696"/>
    <w:rsid w:val="00CE51D2"/>
    <w:rsid w:val="00CF014D"/>
    <w:rsid w:val="00CF0E84"/>
    <w:rsid w:val="00CF123A"/>
    <w:rsid w:val="00CF12C3"/>
    <w:rsid w:val="00CF175D"/>
    <w:rsid w:val="00CF1A36"/>
    <w:rsid w:val="00CF28A4"/>
    <w:rsid w:val="00CF2D19"/>
    <w:rsid w:val="00CF2FE5"/>
    <w:rsid w:val="00CF3B19"/>
    <w:rsid w:val="00CF43AB"/>
    <w:rsid w:val="00CF7390"/>
    <w:rsid w:val="00D00BB0"/>
    <w:rsid w:val="00D00E68"/>
    <w:rsid w:val="00D010B3"/>
    <w:rsid w:val="00D02C6F"/>
    <w:rsid w:val="00D03334"/>
    <w:rsid w:val="00D037C7"/>
    <w:rsid w:val="00D045BF"/>
    <w:rsid w:val="00D04ED5"/>
    <w:rsid w:val="00D0546E"/>
    <w:rsid w:val="00D05908"/>
    <w:rsid w:val="00D06F95"/>
    <w:rsid w:val="00D07306"/>
    <w:rsid w:val="00D07C4F"/>
    <w:rsid w:val="00D11512"/>
    <w:rsid w:val="00D121AF"/>
    <w:rsid w:val="00D149C1"/>
    <w:rsid w:val="00D152EA"/>
    <w:rsid w:val="00D15D56"/>
    <w:rsid w:val="00D163A3"/>
    <w:rsid w:val="00D22310"/>
    <w:rsid w:val="00D25463"/>
    <w:rsid w:val="00D257CB"/>
    <w:rsid w:val="00D25E38"/>
    <w:rsid w:val="00D26C9F"/>
    <w:rsid w:val="00D26F1C"/>
    <w:rsid w:val="00D27A6A"/>
    <w:rsid w:val="00D30161"/>
    <w:rsid w:val="00D306A1"/>
    <w:rsid w:val="00D31853"/>
    <w:rsid w:val="00D320AC"/>
    <w:rsid w:val="00D337E3"/>
    <w:rsid w:val="00D351D9"/>
    <w:rsid w:val="00D36360"/>
    <w:rsid w:val="00D37422"/>
    <w:rsid w:val="00D402C0"/>
    <w:rsid w:val="00D41D26"/>
    <w:rsid w:val="00D42367"/>
    <w:rsid w:val="00D442D3"/>
    <w:rsid w:val="00D44DBA"/>
    <w:rsid w:val="00D45003"/>
    <w:rsid w:val="00D467C2"/>
    <w:rsid w:val="00D50334"/>
    <w:rsid w:val="00D54526"/>
    <w:rsid w:val="00D5511A"/>
    <w:rsid w:val="00D558A2"/>
    <w:rsid w:val="00D56208"/>
    <w:rsid w:val="00D566B0"/>
    <w:rsid w:val="00D56A92"/>
    <w:rsid w:val="00D6093B"/>
    <w:rsid w:val="00D61316"/>
    <w:rsid w:val="00D61C7B"/>
    <w:rsid w:val="00D61F3A"/>
    <w:rsid w:val="00D6366C"/>
    <w:rsid w:val="00D640F5"/>
    <w:rsid w:val="00D66BDA"/>
    <w:rsid w:val="00D67E6D"/>
    <w:rsid w:val="00D702D3"/>
    <w:rsid w:val="00D70453"/>
    <w:rsid w:val="00D71697"/>
    <w:rsid w:val="00D741CA"/>
    <w:rsid w:val="00D7511E"/>
    <w:rsid w:val="00D76209"/>
    <w:rsid w:val="00D76D91"/>
    <w:rsid w:val="00D76F05"/>
    <w:rsid w:val="00D778BF"/>
    <w:rsid w:val="00D77A3D"/>
    <w:rsid w:val="00D802E6"/>
    <w:rsid w:val="00D81149"/>
    <w:rsid w:val="00D819C1"/>
    <w:rsid w:val="00D8204D"/>
    <w:rsid w:val="00D860EA"/>
    <w:rsid w:val="00D86198"/>
    <w:rsid w:val="00D87517"/>
    <w:rsid w:val="00D90012"/>
    <w:rsid w:val="00D90B0B"/>
    <w:rsid w:val="00D90F91"/>
    <w:rsid w:val="00D93615"/>
    <w:rsid w:val="00D95024"/>
    <w:rsid w:val="00D95312"/>
    <w:rsid w:val="00D95DA6"/>
    <w:rsid w:val="00D960E0"/>
    <w:rsid w:val="00D97132"/>
    <w:rsid w:val="00DA11FC"/>
    <w:rsid w:val="00DA1C52"/>
    <w:rsid w:val="00DA38DD"/>
    <w:rsid w:val="00DA56E2"/>
    <w:rsid w:val="00DA5C72"/>
    <w:rsid w:val="00DA60FB"/>
    <w:rsid w:val="00DA7E64"/>
    <w:rsid w:val="00DB0014"/>
    <w:rsid w:val="00DB01A3"/>
    <w:rsid w:val="00DB10A5"/>
    <w:rsid w:val="00DB1401"/>
    <w:rsid w:val="00DB1AC9"/>
    <w:rsid w:val="00DB1CAE"/>
    <w:rsid w:val="00DB1D50"/>
    <w:rsid w:val="00DB1EEE"/>
    <w:rsid w:val="00DB2030"/>
    <w:rsid w:val="00DB2605"/>
    <w:rsid w:val="00DB386E"/>
    <w:rsid w:val="00DB41E6"/>
    <w:rsid w:val="00DB482A"/>
    <w:rsid w:val="00DB4E45"/>
    <w:rsid w:val="00DB60EC"/>
    <w:rsid w:val="00DB6A17"/>
    <w:rsid w:val="00DC0A4B"/>
    <w:rsid w:val="00DC0F25"/>
    <w:rsid w:val="00DC2518"/>
    <w:rsid w:val="00DC2D78"/>
    <w:rsid w:val="00DC3607"/>
    <w:rsid w:val="00DC3DEC"/>
    <w:rsid w:val="00DC4C63"/>
    <w:rsid w:val="00DC7A99"/>
    <w:rsid w:val="00DC7DC5"/>
    <w:rsid w:val="00DD1309"/>
    <w:rsid w:val="00DD26EE"/>
    <w:rsid w:val="00DD366C"/>
    <w:rsid w:val="00DD3674"/>
    <w:rsid w:val="00DD3C96"/>
    <w:rsid w:val="00DD4170"/>
    <w:rsid w:val="00DD4793"/>
    <w:rsid w:val="00DD6A73"/>
    <w:rsid w:val="00DD7B6C"/>
    <w:rsid w:val="00DE01FE"/>
    <w:rsid w:val="00DE0590"/>
    <w:rsid w:val="00DE0830"/>
    <w:rsid w:val="00DE0ACE"/>
    <w:rsid w:val="00DE25B7"/>
    <w:rsid w:val="00DE283F"/>
    <w:rsid w:val="00DE2F1C"/>
    <w:rsid w:val="00DE3794"/>
    <w:rsid w:val="00DE3889"/>
    <w:rsid w:val="00DE4546"/>
    <w:rsid w:val="00DE4659"/>
    <w:rsid w:val="00DE6DD1"/>
    <w:rsid w:val="00DF17F8"/>
    <w:rsid w:val="00DF1A0C"/>
    <w:rsid w:val="00DF2E18"/>
    <w:rsid w:val="00DF306E"/>
    <w:rsid w:val="00DF411C"/>
    <w:rsid w:val="00DF5724"/>
    <w:rsid w:val="00DF7E9C"/>
    <w:rsid w:val="00E001F4"/>
    <w:rsid w:val="00E007C3"/>
    <w:rsid w:val="00E00825"/>
    <w:rsid w:val="00E01388"/>
    <w:rsid w:val="00E01501"/>
    <w:rsid w:val="00E01568"/>
    <w:rsid w:val="00E02CDD"/>
    <w:rsid w:val="00E02E4D"/>
    <w:rsid w:val="00E036B1"/>
    <w:rsid w:val="00E04160"/>
    <w:rsid w:val="00E048CC"/>
    <w:rsid w:val="00E069B0"/>
    <w:rsid w:val="00E06ADA"/>
    <w:rsid w:val="00E127ED"/>
    <w:rsid w:val="00E12806"/>
    <w:rsid w:val="00E1394B"/>
    <w:rsid w:val="00E13DB7"/>
    <w:rsid w:val="00E143D9"/>
    <w:rsid w:val="00E15363"/>
    <w:rsid w:val="00E16ED8"/>
    <w:rsid w:val="00E20CAF"/>
    <w:rsid w:val="00E2149D"/>
    <w:rsid w:val="00E223A9"/>
    <w:rsid w:val="00E22F97"/>
    <w:rsid w:val="00E236C1"/>
    <w:rsid w:val="00E24D3E"/>
    <w:rsid w:val="00E25033"/>
    <w:rsid w:val="00E2580A"/>
    <w:rsid w:val="00E300BB"/>
    <w:rsid w:val="00E3173E"/>
    <w:rsid w:val="00E31F6A"/>
    <w:rsid w:val="00E32992"/>
    <w:rsid w:val="00E359F7"/>
    <w:rsid w:val="00E35FAC"/>
    <w:rsid w:val="00E37040"/>
    <w:rsid w:val="00E378E6"/>
    <w:rsid w:val="00E37FB2"/>
    <w:rsid w:val="00E404F6"/>
    <w:rsid w:val="00E40D44"/>
    <w:rsid w:val="00E40DE7"/>
    <w:rsid w:val="00E414AC"/>
    <w:rsid w:val="00E41CEE"/>
    <w:rsid w:val="00E41FDB"/>
    <w:rsid w:val="00E4208C"/>
    <w:rsid w:val="00E44C7F"/>
    <w:rsid w:val="00E45E91"/>
    <w:rsid w:val="00E45FB3"/>
    <w:rsid w:val="00E46ABF"/>
    <w:rsid w:val="00E47112"/>
    <w:rsid w:val="00E479B4"/>
    <w:rsid w:val="00E50475"/>
    <w:rsid w:val="00E508DE"/>
    <w:rsid w:val="00E50E6F"/>
    <w:rsid w:val="00E50F26"/>
    <w:rsid w:val="00E51349"/>
    <w:rsid w:val="00E5163A"/>
    <w:rsid w:val="00E51F5E"/>
    <w:rsid w:val="00E528D3"/>
    <w:rsid w:val="00E541EA"/>
    <w:rsid w:val="00E54332"/>
    <w:rsid w:val="00E5514A"/>
    <w:rsid w:val="00E55C06"/>
    <w:rsid w:val="00E63F14"/>
    <w:rsid w:val="00E64B88"/>
    <w:rsid w:val="00E64DB8"/>
    <w:rsid w:val="00E64E05"/>
    <w:rsid w:val="00E6646C"/>
    <w:rsid w:val="00E7089A"/>
    <w:rsid w:val="00E70945"/>
    <w:rsid w:val="00E73545"/>
    <w:rsid w:val="00E73FCC"/>
    <w:rsid w:val="00E83B05"/>
    <w:rsid w:val="00E845AF"/>
    <w:rsid w:val="00E85139"/>
    <w:rsid w:val="00E859B2"/>
    <w:rsid w:val="00E86060"/>
    <w:rsid w:val="00E8618B"/>
    <w:rsid w:val="00E87412"/>
    <w:rsid w:val="00E876E0"/>
    <w:rsid w:val="00E9071E"/>
    <w:rsid w:val="00E90957"/>
    <w:rsid w:val="00E928C1"/>
    <w:rsid w:val="00E92FED"/>
    <w:rsid w:val="00E938C8"/>
    <w:rsid w:val="00E93AE9"/>
    <w:rsid w:val="00E95B13"/>
    <w:rsid w:val="00E95DF1"/>
    <w:rsid w:val="00EA067B"/>
    <w:rsid w:val="00EA0C02"/>
    <w:rsid w:val="00EA1076"/>
    <w:rsid w:val="00EA2F3A"/>
    <w:rsid w:val="00EA5276"/>
    <w:rsid w:val="00EA74EF"/>
    <w:rsid w:val="00EB0023"/>
    <w:rsid w:val="00EB02E3"/>
    <w:rsid w:val="00EB05EA"/>
    <w:rsid w:val="00EB2DF4"/>
    <w:rsid w:val="00EB3DC7"/>
    <w:rsid w:val="00EB4442"/>
    <w:rsid w:val="00EB50B9"/>
    <w:rsid w:val="00EB64D4"/>
    <w:rsid w:val="00EB78E6"/>
    <w:rsid w:val="00EC0923"/>
    <w:rsid w:val="00EC0E02"/>
    <w:rsid w:val="00EC141D"/>
    <w:rsid w:val="00EC15B5"/>
    <w:rsid w:val="00EC3ABE"/>
    <w:rsid w:val="00EC416E"/>
    <w:rsid w:val="00EC523C"/>
    <w:rsid w:val="00EC6E3D"/>
    <w:rsid w:val="00ED03D4"/>
    <w:rsid w:val="00ED1556"/>
    <w:rsid w:val="00ED2E62"/>
    <w:rsid w:val="00ED459A"/>
    <w:rsid w:val="00ED4775"/>
    <w:rsid w:val="00ED6D3C"/>
    <w:rsid w:val="00ED6FA4"/>
    <w:rsid w:val="00ED74EF"/>
    <w:rsid w:val="00ED76BB"/>
    <w:rsid w:val="00ED7FD5"/>
    <w:rsid w:val="00EE0CE7"/>
    <w:rsid w:val="00EE108A"/>
    <w:rsid w:val="00EE1718"/>
    <w:rsid w:val="00EE31BE"/>
    <w:rsid w:val="00EE32C0"/>
    <w:rsid w:val="00EE3D2E"/>
    <w:rsid w:val="00EE473B"/>
    <w:rsid w:val="00EE4B73"/>
    <w:rsid w:val="00EE4F95"/>
    <w:rsid w:val="00EE5F1F"/>
    <w:rsid w:val="00EE6566"/>
    <w:rsid w:val="00EE6A56"/>
    <w:rsid w:val="00EE6A75"/>
    <w:rsid w:val="00EE7266"/>
    <w:rsid w:val="00EF1834"/>
    <w:rsid w:val="00EF1B15"/>
    <w:rsid w:val="00EF296B"/>
    <w:rsid w:val="00EF438B"/>
    <w:rsid w:val="00EF4948"/>
    <w:rsid w:val="00EF52B4"/>
    <w:rsid w:val="00EF612B"/>
    <w:rsid w:val="00F005C7"/>
    <w:rsid w:val="00F02C1C"/>
    <w:rsid w:val="00F035F1"/>
    <w:rsid w:val="00F038D1"/>
    <w:rsid w:val="00F03AB7"/>
    <w:rsid w:val="00F0431B"/>
    <w:rsid w:val="00F05474"/>
    <w:rsid w:val="00F05A5C"/>
    <w:rsid w:val="00F05C2E"/>
    <w:rsid w:val="00F06772"/>
    <w:rsid w:val="00F07A62"/>
    <w:rsid w:val="00F105AA"/>
    <w:rsid w:val="00F10E86"/>
    <w:rsid w:val="00F11857"/>
    <w:rsid w:val="00F11DD2"/>
    <w:rsid w:val="00F13ABA"/>
    <w:rsid w:val="00F14192"/>
    <w:rsid w:val="00F151F3"/>
    <w:rsid w:val="00F15FCC"/>
    <w:rsid w:val="00F211B9"/>
    <w:rsid w:val="00F2189E"/>
    <w:rsid w:val="00F21CB1"/>
    <w:rsid w:val="00F2291A"/>
    <w:rsid w:val="00F22F5B"/>
    <w:rsid w:val="00F23BEB"/>
    <w:rsid w:val="00F23D46"/>
    <w:rsid w:val="00F262F1"/>
    <w:rsid w:val="00F26C9D"/>
    <w:rsid w:val="00F30995"/>
    <w:rsid w:val="00F311D7"/>
    <w:rsid w:val="00F3247C"/>
    <w:rsid w:val="00F32B86"/>
    <w:rsid w:val="00F32CD9"/>
    <w:rsid w:val="00F32E69"/>
    <w:rsid w:val="00F342DB"/>
    <w:rsid w:val="00F34360"/>
    <w:rsid w:val="00F343A4"/>
    <w:rsid w:val="00F34BBA"/>
    <w:rsid w:val="00F35990"/>
    <w:rsid w:val="00F37612"/>
    <w:rsid w:val="00F37755"/>
    <w:rsid w:val="00F40C4C"/>
    <w:rsid w:val="00F4108A"/>
    <w:rsid w:val="00F4194D"/>
    <w:rsid w:val="00F43F05"/>
    <w:rsid w:val="00F45FD0"/>
    <w:rsid w:val="00F4626F"/>
    <w:rsid w:val="00F511C9"/>
    <w:rsid w:val="00F51926"/>
    <w:rsid w:val="00F533CA"/>
    <w:rsid w:val="00F542A7"/>
    <w:rsid w:val="00F55E1B"/>
    <w:rsid w:val="00F56A6D"/>
    <w:rsid w:val="00F576DB"/>
    <w:rsid w:val="00F57AF5"/>
    <w:rsid w:val="00F60D93"/>
    <w:rsid w:val="00F6155F"/>
    <w:rsid w:val="00F62019"/>
    <w:rsid w:val="00F636FA"/>
    <w:rsid w:val="00F63C26"/>
    <w:rsid w:val="00F65CEA"/>
    <w:rsid w:val="00F7042E"/>
    <w:rsid w:val="00F70E48"/>
    <w:rsid w:val="00F70EB3"/>
    <w:rsid w:val="00F71473"/>
    <w:rsid w:val="00F73049"/>
    <w:rsid w:val="00F730A0"/>
    <w:rsid w:val="00F73363"/>
    <w:rsid w:val="00F80BEC"/>
    <w:rsid w:val="00F81F57"/>
    <w:rsid w:val="00F82F20"/>
    <w:rsid w:val="00F83AF5"/>
    <w:rsid w:val="00F83B69"/>
    <w:rsid w:val="00F8534F"/>
    <w:rsid w:val="00F90131"/>
    <w:rsid w:val="00F90595"/>
    <w:rsid w:val="00F934FD"/>
    <w:rsid w:val="00F94AE1"/>
    <w:rsid w:val="00F94B0C"/>
    <w:rsid w:val="00F9551D"/>
    <w:rsid w:val="00F96679"/>
    <w:rsid w:val="00F97E28"/>
    <w:rsid w:val="00FA2D0D"/>
    <w:rsid w:val="00FA3BBC"/>
    <w:rsid w:val="00FA44F8"/>
    <w:rsid w:val="00FA586F"/>
    <w:rsid w:val="00FA6DF5"/>
    <w:rsid w:val="00FB17DF"/>
    <w:rsid w:val="00FB29AA"/>
    <w:rsid w:val="00FB2C15"/>
    <w:rsid w:val="00FB2DD3"/>
    <w:rsid w:val="00FB2F99"/>
    <w:rsid w:val="00FB46E3"/>
    <w:rsid w:val="00FB5028"/>
    <w:rsid w:val="00FB53EA"/>
    <w:rsid w:val="00FB55B2"/>
    <w:rsid w:val="00FB6752"/>
    <w:rsid w:val="00FB7605"/>
    <w:rsid w:val="00FC0145"/>
    <w:rsid w:val="00FC25F1"/>
    <w:rsid w:val="00FC2849"/>
    <w:rsid w:val="00FC3E57"/>
    <w:rsid w:val="00FC4DC6"/>
    <w:rsid w:val="00FC669E"/>
    <w:rsid w:val="00FC6D5B"/>
    <w:rsid w:val="00FC72B9"/>
    <w:rsid w:val="00FD0E0A"/>
    <w:rsid w:val="00FD2B71"/>
    <w:rsid w:val="00FD2C47"/>
    <w:rsid w:val="00FD3EE3"/>
    <w:rsid w:val="00FD5F8B"/>
    <w:rsid w:val="00FD623B"/>
    <w:rsid w:val="00FD7290"/>
    <w:rsid w:val="00FD75F7"/>
    <w:rsid w:val="00FD77AF"/>
    <w:rsid w:val="00FD7E1F"/>
    <w:rsid w:val="00FE00AA"/>
    <w:rsid w:val="00FE107B"/>
    <w:rsid w:val="00FE1781"/>
    <w:rsid w:val="00FE189C"/>
    <w:rsid w:val="00FE1BF6"/>
    <w:rsid w:val="00FE275B"/>
    <w:rsid w:val="00FE2E2A"/>
    <w:rsid w:val="00FE6170"/>
    <w:rsid w:val="00FE77F6"/>
    <w:rsid w:val="00FF024E"/>
    <w:rsid w:val="00FF025C"/>
    <w:rsid w:val="00FF0BD5"/>
    <w:rsid w:val="00FF101D"/>
    <w:rsid w:val="00FF4F47"/>
    <w:rsid w:val="00FF5E82"/>
    <w:rsid w:val="00FF7036"/>
    <w:rsid w:val="00FF7946"/>
    <w:rsid w:val="16BDFE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E48015"/>
  <w15:docId w15:val="{CE6A5728-9506-4283-A0FE-B45D108CF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99"/>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lsdException w:name="header" w:uiPriority="99"/>
    <w:lsdException w:name="footer" w:uiPriority="99"/>
    <w:lsdException w:name="index heading" w:semiHidden="1"/>
    <w:lsdException w:name="caption" w:qFormat="1"/>
    <w:lsdException w:name="table of figures" w:uiPriority="99"/>
    <w:lsdException w:name="envelope address" w:semiHidden="1"/>
    <w:lsdException w:name="envelope return" w:semiHidden="1"/>
    <w:lsdException w:name="footnote reference" w:uiPriority="99"/>
    <w:lsdException w:name="annotation reference" w:uiPriority="99"/>
    <w:lsdException w:name="line number" w:semiHidden="1"/>
    <w:lsdException w:name="page number" w:uiPriority="99"/>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uiPriority="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Hyperlink" w:uiPriority="99"/>
    <w:lsdException w:name="FollowedHyperlink" w:uiPriority="99"/>
    <w:lsdException w:name="Strong" w:qFormat="1"/>
    <w:lsdException w:name="Emphasis" w:semiHidden="1" w:qFormat="1"/>
    <w:lsdException w:name="Document Map" w:semiHidden="1"/>
    <w:lsdException w:name="Plain Text" w:semiHidden="1"/>
    <w:lsdException w:name="E-mail Signature" w:semiHidden="1"/>
    <w:lsdException w:name="Normal (Web)"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4483"/>
    <w:pPr>
      <w:autoSpaceDE w:val="0"/>
      <w:autoSpaceDN w:val="0"/>
      <w:adjustRightInd w:val="0"/>
      <w:snapToGrid w:val="0"/>
    </w:pPr>
    <w:rPr>
      <w:sz w:val="24"/>
      <w:szCs w:val="24"/>
    </w:rPr>
  </w:style>
  <w:style w:type="paragraph" w:styleId="Heading1">
    <w:name w:val="heading 1"/>
    <w:basedOn w:val="Normal"/>
    <w:next w:val="Normal"/>
    <w:link w:val="Heading1Char"/>
    <w:semiHidden/>
    <w:rsid w:val="00F23D46"/>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semiHidden/>
    <w:qFormat/>
    <w:rsid w:val="00F23D46"/>
    <w:pPr>
      <w:keepNext/>
      <w:keepLines/>
      <w:spacing w:before="200"/>
      <w:outlineLvl w:val="1"/>
    </w:pPr>
    <w:rPr>
      <w:rFonts w:ascii="Calibri" w:eastAsia="MS Gothic" w:hAnsi="Calibri"/>
      <w:b/>
      <w:bCs/>
      <w:color w:val="4F81BD"/>
      <w:sz w:val="26"/>
      <w:szCs w:val="26"/>
    </w:rPr>
  </w:style>
  <w:style w:type="paragraph" w:styleId="Heading3">
    <w:name w:val="heading 3"/>
    <w:basedOn w:val="Normal"/>
    <w:next w:val="Normal"/>
    <w:link w:val="Heading3Char"/>
    <w:uiPriority w:val="99"/>
    <w:semiHidden/>
    <w:qFormat/>
    <w:rsid w:val="00F23D46"/>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0265BF"/>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345372"/>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345372"/>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345372"/>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34537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34537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semiHidden/>
    <w:rsid w:val="00F23D46"/>
    <w:rPr>
      <w:rFonts w:ascii="Calibri" w:eastAsia="MS Gothic" w:hAnsi="Calibri"/>
      <w:b/>
      <w:bCs/>
      <w:kern w:val="32"/>
      <w:sz w:val="32"/>
      <w:szCs w:val="32"/>
    </w:rPr>
  </w:style>
  <w:style w:type="character" w:customStyle="1" w:styleId="Heading2Char">
    <w:name w:val="Heading 2 Char"/>
    <w:link w:val="Heading2"/>
    <w:semiHidden/>
    <w:rsid w:val="00F23D46"/>
    <w:rPr>
      <w:rFonts w:ascii="Calibri" w:eastAsia="MS Gothic" w:hAnsi="Calibri"/>
      <w:b/>
      <w:bCs/>
      <w:color w:val="4F81BD"/>
      <w:sz w:val="26"/>
      <w:szCs w:val="26"/>
    </w:rPr>
  </w:style>
  <w:style w:type="character" w:customStyle="1" w:styleId="Heading3Char">
    <w:name w:val="Heading 3 Char"/>
    <w:link w:val="Heading3"/>
    <w:uiPriority w:val="99"/>
    <w:semiHidden/>
    <w:rsid w:val="00F23D46"/>
    <w:rPr>
      <w:rFonts w:ascii="Arial" w:hAnsi="Arial" w:cs="Arial"/>
      <w:b/>
      <w:bCs/>
      <w:sz w:val="26"/>
      <w:szCs w:val="26"/>
    </w:rPr>
  </w:style>
  <w:style w:type="character" w:customStyle="1" w:styleId="Heading4Char">
    <w:name w:val="Heading 4 Char"/>
    <w:link w:val="Heading4"/>
    <w:semiHidden/>
    <w:rsid w:val="000265BF"/>
    <w:rPr>
      <w:rFonts w:ascii="Calibri" w:eastAsia="Times New Roman" w:hAnsi="Calibri" w:cs="Times New Roman"/>
      <w:b/>
      <w:bCs/>
      <w:sz w:val="28"/>
      <w:szCs w:val="28"/>
    </w:rPr>
  </w:style>
  <w:style w:type="paragraph" w:customStyle="1" w:styleId="APALevel1">
    <w:name w:val="APA Level 1"/>
    <w:next w:val="BodyText"/>
    <w:link w:val="APALevel1Char"/>
    <w:qFormat/>
    <w:rsid w:val="00586C7C"/>
    <w:pPr>
      <w:keepNext/>
      <w:keepLines/>
      <w:tabs>
        <w:tab w:val="right" w:leader="dot" w:pos="8640"/>
      </w:tabs>
      <w:autoSpaceDE w:val="0"/>
      <w:autoSpaceDN w:val="0"/>
      <w:spacing w:line="480" w:lineRule="auto"/>
      <w:jc w:val="center"/>
      <w:outlineLvl w:val="1"/>
    </w:pPr>
    <w:rPr>
      <w:b/>
      <w:sz w:val="24"/>
      <w:szCs w:val="24"/>
    </w:rPr>
  </w:style>
  <w:style w:type="paragraph" w:styleId="BodyText">
    <w:name w:val="Body Text"/>
    <w:basedOn w:val="Normal"/>
    <w:link w:val="BodyTextChar"/>
    <w:rsid w:val="006B6EB9"/>
    <w:pPr>
      <w:spacing w:line="480" w:lineRule="auto"/>
      <w:ind w:firstLine="720"/>
    </w:pPr>
  </w:style>
  <w:style w:type="character" w:customStyle="1" w:styleId="BodyTextChar">
    <w:name w:val="Body Text Char"/>
    <w:link w:val="BodyText"/>
    <w:rsid w:val="006B6EB9"/>
    <w:rPr>
      <w:sz w:val="24"/>
      <w:szCs w:val="24"/>
    </w:rPr>
  </w:style>
  <w:style w:type="character" w:customStyle="1" w:styleId="APALevel1Char">
    <w:name w:val="APA Level 1 Char"/>
    <w:link w:val="APALevel1"/>
    <w:rsid w:val="00586C7C"/>
    <w:rPr>
      <w:b/>
      <w:sz w:val="24"/>
      <w:szCs w:val="24"/>
    </w:rPr>
  </w:style>
  <w:style w:type="paragraph" w:customStyle="1" w:styleId="APALevel2">
    <w:name w:val="APA Level 2"/>
    <w:basedOn w:val="APALevel1"/>
    <w:next w:val="BodyText"/>
    <w:qFormat/>
    <w:rsid w:val="00EB2DF4"/>
    <w:pPr>
      <w:adjustRightInd w:val="0"/>
      <w:jc w:val="left"/>
      <w:outlineLvl w:val="2"/>
    </w:pPr>
    <w:rPr>
      <w:iCs/>
    </w:rPr>
  </w:style>
  <w:style w:type="paragraph" w:customStyle="1" w:styleId="APAReference">
    <w:name w:val="APA Reference"/>
    <w:qFormat/>
    <w:rsid w:val="00F23D46"/>
    <w:pPr>
      <w:widowControl w:val="0"/>
      <w:autoSpaceDE w:val="0"/>
      <w:autoSpaceDN w:val="0"/>
      <w:adjustRightInd w:val="0"/>
      <w:spacing w:line="480" w:lineRule="auto"/>
      <w:ind w:left="720" w:hanging="720"/>
    </w:pPr>
    <w:rPr>
      <w:sz w:val="24"/>
      <w:szCs w:val="24"/>
    </w:rPr>
  </w:style>
  <w:style w:type="paragraph" w:customStyle="1" w:styleId="FlushLeft">
    <w:name w:val="Flush Left"/>
    <w:link w:val="FlushLeftChar"/>
    <w:uiPriority w:val="99"/>
    <w:semiHidden/>
    <w:rsid w:val="00F23D46"/>
    <w:pPr>
      <w:widowControl w:val="0"/>
      <w:autoSpaceDE w:val="0"/>
      <w:autoSpaceDN w:val="0"/>
      <w:adjustRightInd w:val="0"/>
      <w:spacing w:line="480" w:lineRule="auto"/>
    </w:pPr>
    <w:rPr>
      <w:sz w:val="24"/>
      <w:szCs w:val="24"/>
    </w:rPr>
  </w:style>
  <w:style w:type="character" w:customStyle="1" w:styleId="FlushLeftChar">
    <w:name w:val="Flush Left Char"/>
    <w:link w:val="FlushLeft"/>
    <w:uiPriority w:val="99"/>
    <w:semiHidden/>
    <w:rsid w:val="00F23D46"/>
    <w:rPr>
      <w:sz w:val="24"/>
      <w:szCs w:val="24"/>
    </w:rPr>
  </w:style>
  <w:style w:type="paragraph" w:styleId="Header">
    <w:name w:val="header"/>
    <w:basedOn w:val="Normal"/>
    <w:link w:val="HeaderChar"/>
    <w:uiPriority w:val="99"/>
    <w:rsid w:val="00F23D46"/>
    <w:pPr>
      <w:tabs>
        <w:tab w:val="left" w:pos="0"/>
        <w:tab w:val="center" w:pos="4320"/>
        <w:tab w:val="right" w:pos="8640"/>
      </w:tabs>
    </w:pPr>
  </w:style>
  <w:style w:type="character" w:customStyle="1" w:styleId="HeaderChar">
    <w:name w:val="Header Char"/>
    <w:link w:val="Header"/>
    <w:uiPriority w:val="99"/>
    <w:rsid w:val="00F23D46"/>
    <w:rPr>
      <w:sz w:val="24"/>
      <w:szCs w:val="24"/>
    </w:rPr>
  </w:style>
  <w:style w:type="paragraph" w:styleId="Footer">
    <w:name w:val="footer"/>
    <w:basedOn w:val="Normal"/>
    <w:link w:val="FooterChar"/>
    <w:uiPriority w:val="99"/>
    <w:rsid w:val="00F23D46"/>
    <w:pPr>
      <w:tabs>
        <w:tab w:val="left" w:pos="0"/>
        <w:tab w:val="center" w:pos="4320"/>
        <w:tab w:val="right" w:pos="8640"/>
      </w:tabs>
      <w:ind w:firstLine="720"/>
    </w:pPr>
  </w:style>
  <w:style w:type="character" w:customStyle="1" w:styleId="FooterChar">
    <w:name w:val="Footer Char"/>
    <w:link w:val="Footer"/>
    <w:uiPriority w:val="99"/>
    <w:rsid w:val="00F23D46"/>
    <w:rPr>
      <w:sz w:val="24"/>
      <w:szCs w:val="24"/>
    </w:rPr>
  </w:style>
  <w:style w:type="character" w:styleId="PageNumber">
    <w:name w:val="page number"/>
    <w:uiPriority w:val="99"/>
    <w:semiHidden/>
    <w:rsid w:val="00F23D46"/>
    <w:rPr>
      <w:rFonts w:cs="Times New Roman"/>
    </w:rPr>
  </w:style>
  <w:style w:type="paragraph" w:customStyle="1" w:styleId="CenteredTextSingleSpace">
    <w:name w:val="Centered Text Single Space"/>
    <w:basedOn w:val="Normal"/>
    <w:uiPriority w:val="99"/>
    <w:semiHidden/>
    <w:rsid w:val="00F23D46"/>
    <w:pPr>
      <w:jc w:val="center"/>
    </w:pPr>
  </w:style>
  <w:style w:type="paragraph" w:styleId="TableofFigures">
    <w:name w:val="table of figures"/>
    <w:basedOn w:val="Normal"/>
    <w:next w:val="Normal"/>
    <w:uiPriority w:val="99"/>
    <w:rsid w:val="00F23D46"/>
    <w:pPr>
      <w:spacing w:line="480" w:lineRule="auto"/>
      <w:ind w:left="480" w:hanging="480"/>
    </w:pPr>
  </w:style>
  <w:style w:type="paragraph" w:customStyle="1" w:styleId="APALevel0noTOC">
    <w:name w:val="APA Level 0 no TOC"/>
    <w:basedOn w:val="APALevel0"/>
    <w:next w:val="BodyText"/>
    <w:qFormat/>
    <w:rsid w:val="00F23D46"/>
    <w:pPr>
      <w:outlineLvl w:val="9"/>
    </w:pPr>
  </w:style>
  <w:style w:type="paragraph" w:customStyle="1" w:styleId="APALevel0">
    <w:name w:val="APA Level 0"/>
    <w:qFormat/>
    <w:rsid w:val="00A604D5"/>
    <w:pPr>
      <w:keepNext/>
      <w:keepLines/>
      <w:spacing w:line="480" w:lineRule="auto"/>
      <w:jc w:val="center"/>
      <w:outlineLvl w:val="0"/>
    </w:pPr>
    <w:rPr>
      <w:sz w:val="24"/>
      <w:szCs w:val="24"/>
    </w:rPr>
  </w:style>
  <w:style w:type="paragraph" w:styleId="TOC1">
    <w:name w:val="toc 1"/>
    <w:basedOn w:val="Normal"/>
    <w:next w:val="Normal"/>
    <w:uiPriority w:val="39"/>
    <w:rsid w:val="00F23D46"/>
    <w:pPr>
      <w:tabs>
        <w:tab w:val="right" w:leader="dot" w:pos="8640"/>
      </w:tabs>
      <w:spacing w:line="480" w:lineRule="auto"/>
      <w:ind w:left="720" w:right="720" w:hanging="720"/>
      <w:outlineLvl w:val="0"/>
    </w:pPr>
    <w:rPr>
      <w:noProof/>
    </w:rPr>
  </w:style>
  <w:style w:type="paragraph" w:styleId="TOC2">
    <w:name w:val="toc 2"/>
    <w:basedOn w:val="Normal"/>
    <w:next w:val="Normal"/>
    <w:uiPriority w:val="39"/>
    <w:rsid w:val="00F23D46"/>
    <w:pPr>
      <w:tabs>
        <w:tab w:val="right" w:leader="dot" w:pos="8640"/>
      </w:tabs>
      <w:spacing w:line="480" w:lineRule="auto"/>
      <w:ind w:left="1080" w:right="720" w:hanging="720"/>
    </w:pPr>
    <w:rPr>
      <w:noProof/>
    </w:rPr>
  </w:style>
  <w:style w:type="paragraph" w:styleId="TOC3">
    <w:name w:val="toc 3"/>
    <w:basedOn w:val="Normal"/>
    <w:next w:val="Normal"/>
    <w:uiPriority w:val="39"/>
    <w:rsid w:val="00F23D46"/>
    <w:pPr>
      <w:spacing w:line="480" w:lineRule="auto"/>
      <w:ind w:left="1440" w:right="720" w:hanging="720"/>
    </w:pPr>
  </w:style>
  <w:style w:type="paragraph" w:styleId="TOC4">
    <w:name w:val="toc 4"/>
    <w:basedOn w:val="Normal"/>
    <w:next w:val="Normal"/>
    <w:uiPriority w:val="99"/>
    <w:semiHidden/>
    <w:rsid w:val="00F23D46"/>
    <w:pPr>
      <w:ind w:left="1800" w:right="720" w:hanging="720"/>
    </w:pPr>
  </w:style>
  <w:style w:type="character" w:styleId="Hyperlink">
    <w:name w:val="Hyperlink"/>
    <w:uiPriority w:val="99"/>
    <w:rsid w:val="00F23D46"/>
    <w:rPr>
      <w:rFonts w:cs="Times New Roman"/>
      <w:color w:val="1F497D"/>
      <w:u w:val="single"/>
    </w:rPr>
  </w:style>
  <w:style w:type="paragraph" w:styleId="Caption">
    <w:name w:val="caption"/>
    <w:basedOn w:val="Normal"/>
    <w:next w:val="Normal"/>
    <w:qFormat/>
    <w:rsid w:val="002A4EF2"/>
    <w:pPr>
      <w:keepNext/>
      <w:keepLines/>
      <w:spacing w:line="480" w:lineRule="auto"/>
    </w:pPr>
    <w:rPr>
      <w:bCs/>
      <w:szCs w:val="20"/>
    </w:rPr>
  </w:style>
  <w:style w:type="paragraph" w:customStyle="1" w:styleId="ColorfulShading-Accent31">
    <w:name w:val="Colorful Shading - Accent 31"/>
    <w:basedOn w:val="Normal"/>
    <w:uiPriority w:val="34"/>
    <w:semiHidden/>
    <w:qFormat/>
    <w:rsid w:val="00F23D46"/>
    <w:pPr>
      <w:autoSpaceDE/>
      <w:autoSpaceDN/>
      <w:adjustRightInd/>
      <w:snapToGrid/>
      <w:ind w:left="720"/>
    </w:pPr>
    <w:rPr>
      <w:rFonts w:eastAsia="Calibri"/>
    </w:rPr>
  </w:style>
  <w:style w:type="paragraph" w:styleId="BlockText">
    <w:name w:val="Block Text"/>
    <w:aliases w:val="Block Quote Text"/>
    <w:basedOn w:val="BodyText"/>
    <w:link w:val="BlockTextChar"/>
    <w:autoRedefine/>
    <w:rsid w:val="00742B96"/>
    <w:pPr>
      <w:ind w:left="720" w:firstLine="0"/>
    </w:pPr>
  </w:style>
  <w:style w:type="character" w:customStyle="1" w:styleId="BlockTextChar">
    <w:name w:val="Block Text Char"/>
    <w:aliases w:val="Block Quote Text Char"/>
    <w:link w:val="BlockText"/>
    <w:rsid w:val="00742B96"/>
    <w:rPr>
      <w:sz w:val="24"/>
      <w:szCs w:val="24"/>
    </w:rPr>
  </w:style>
  <w:style w:type="paragraph" w:customStyle="1" w:styleId="BlockText2">
    <w:name w:val="Block Text 2"/>
    <w:basedOn w:val="BlockText"/>
    <w:next w:val="BodyText"/>
    <w:uiPriority w:val="99"/>
    <w:semiHidden/>
    <w:rsid w:val="00F23D46"/>
    <w:pPr>
      <w:ind w:firstLine="720"/>
    </w:pPr>
  </w:style>
  <w:style w:type="paragraph" w:customStyle="1" w:styleId="TableBodyText">
    <w:name w:val="Table Body Text"/>
    <w:basedOn w:val="Normal"/>
    <w:uiPriority w:val="99"/>
    <w:semiHidden/>
    <w:rsid w:val="00F23D46"/>
    <w:pPr>
      <w:keepNext/>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uppressAutoHyphens/>
      <w:snapToGrid/>
      <w:spacing w:after="240"/>
    </w:pPr>
    <w:rPr>
      <w:sz w:val="20"/>
      <w:szCs w:val="20"/>
    </w:rPr>
  </w:style>
  <w:style w:type="character" w:styleId="CommentReference">
    <w:name w:val="annotation reference"/>
    <w:uiPriority w:val="99"/>
    <w:semiHidden/>
    <w:rsid w:val="00F23D46"/>
    <w:rPr>
      <w:rFonts w:cs="Times New Roman"/>
      <w:sz w:val="16"/>
      <w:szCs w:val="16"/>
    </w:rPr>
  </w:style>
  <w:style w:type="paragraph" w:styleId="CommentText">
    <w:name w:val="annotation text"/>
    <w:basedOn w:val="Normal"/>
    <w:link w:val="CommentTextChar"/>
    <w:semiHidden/>
    <w:rsid w:val="00F23D46"/>
    <w:rPr>
      <w:sz w:val="20"/>
      <w:szCs w:val="20"/>
    </w:rPr>
  </w:style>
  <w:style w:type="character" w:customStyle="1" w:styleId="CommentTextChar">
    <w:name w:val="Comment Text Char"/>
    <w:link w:val="CommentText"/>
    <w:uiPriority w:val="99"/>
    <w:semiHidden/>
    <w:rsid w:val="00F23D46"/>
  </w:style>
  <w:style w:type="paragraph" w:styleId="BalloonText">
    <w:name w:val="Balloon Text"/>
    <w:basedOn w:val="Normal"/>
    <w:link w:val="BalloonTextChar"/>
    <w:uiPriority w:val="99"/>
    <w:rsid w:val="00F23D46"/>
    <w:rPr>
      <w:rFonts w:ascii="Tahoma" w:hAnsi="Tahoma" w:cs="Tahoma"/>
      <w:sz w:val="16"/>
      <w:szCs w:val="16"/>
    </w:rPr>
  </w:style>
  <w:style w:type="character" w:customStyle="1" w:styleId="BalloonTextChar">
    <w:name w:val="Balloon Text Char"/>
    <w:link w:val="BalloonText"/>
    <w:uiPriority w:val="99"/>
    <w:rsid w:val="00F23D46"/>
    <w:rPr>
      <w:rFonts w:ascii="Tahoma" w:hAnsi="Tahoma" w:cs="Tahoma"/>
      <w:sz w:val="16"/>
      <w:szCs w:val="16"/>
    </w:rPr>
  </w:style>
  <w:style w:type="paragraph" w:styleId="CommentSubject">
    <w:name w:val="annotation subject"/>
    <w:basedOn w:val="CommentText"/>
    <w:next w:val="CommentText"/>
    <w:link w:val="CommentSubjectChar"/>
    <w:uiPriority w:val="99"/>
    <w:semiHidden/>
    <w:rsid w:val="00F23D46"/>
    <w:rPr>
      <w:b/>
      <w:bCs/>
    </w:rPr>
  </w:style>
  <w:style w:type="character" w:customStyle="1" w:styleId="CommentSubjectChar">
    <w:name w:val="Comment Subject Char"/>
    <w:link w:val="CommentSubject"/>
    <w:uiPriority w:val="99"/>
    <w:semiHidden/>
    <w:rsid w:val="00F23D46"/>
    <w:rPr>
      <w:b/>
      <w:bCs/>
    </w:rPr>
  </w:style>
  <w:style w:type="paragraph" w:customStyle="1" w:styleId="StyleAPALevel4LeftLinespacingsingle">
    <w:name w:val="Style APA Level 4 + Left Line spacing:  single"/>
    <w:basedOn w:val="Normal"/>
    <w:semiHidden/>
    <w:rsid w:val="00F23D46"/>
    <w:pPr>
      <w:keepNext/>
      <w:keepLines/>
      <w:widowControl w:val="0"/>
      <w:tabs>
        <w:tab w:val="right" w:leader="dot" w:pos="8640"/>
      </w:tabs>
      <w:suppressAutoHyphens/>
      <w:snapToGrid/>
      <w:ind w:firstLine="720"/>
      <w:outlineLvl w:val="4"/>
    </w:pPr>
    <w:rPr>
      <w:bCs/>
      <w:iCs/>
      <w:szCs w:val="20"/>
    </w:rPr>
  </w:style>
  <w:style w:type="paragraph" w:customStyle="1" w:styleId="Default">
    <w:name w:val="Default"/>
    <w:rsid w:val="00F23D46"/>
    <w:pPr>
      <w:autoSpaceDE w:val="0"/>
      <w:autoSpaceDN w:val="0"/>
      <w:adjustRightInd w:val="0"/>
    </w:pPr>
    <w:rPr>
      <w:color w:val="000000"/>
      <w:sz w:val="24"/>
      <w:szCs w:val="24"/>
    </w:rPr>
  </w:style>
  <w:style w:type="paragraph" w:customStyle="1" w:styleId="Figurecaption">
    <w:name w:val="Figure caption"/>
    <w:basedOn w:val="FlushLeft"/>
    <w:next w:val="FlushLeft"/>
    <w:link w:val="FigurecaptionChar"/>
    <w:autoRedefine/>
    <w:semiHidden/>
    <w:rsid w:val="00F23D46"/>
    <w:pPr>
      <w:tabs>
        <w:tab w:val="right" w:leader="dot" w:pos="8640"/>
      </w:tabs>
    </w:pPr>
    <w:rPr>
      <w:i/>
    </w:rPr>
  </w:style>
  <w:style w:type="character" w:customStyle="1" w:styleId="FigurecaptionChar">
    <w:name w:val="Figure caption Char"/>
    <w:link w:val="Figurecaption"/>
    <w:semiHidden/>
    <w:rsid w:val="00F23D46"/>
    <w:rPr>
      <w:i/>
      <w:sz w:val="24"/>
      <w:szCs w:val="24"/>
    </w:rPr>
  </w:style>
  <w:style w:type="table" w:styleId="TableGrid">
    <w:name w:val="Table Grid"/>
    <w:basedOn w:val="TableNormal"/>
    <w:uiPriority w:val="39"/>
    <w:rsid w:val="00F23D46"/>
    <w:pPr>
      <w:autoSpaceDE w:val="0"/>
      <w:autoSpaceDN w:val="0"/>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rsid w:val="00F23D46"/>
    <w:rPr>
      <w:rFonts w:cs="Times New Roman"/>
      <w:color w:val="000000"/>
      <w:u w:val="none"/>
    </w:rPr>
  </w:style>
  <w:style w:type="paragraph" w:customStyle="1" w:styleId="ColorfulList-Accent11">
    <w:name w:val="Colorful List - Accent 11"/>
    <w:basedOn w:val="Normal"/>
    <w:uiPriority w:val="34"/>
    <w:semiHidden/>
    <w:qFormat/>
    <w:rsid w:val="00AE3565"/>
    <w:pPr>
      <w:autoSpaceDE/>
      <w:autoSpaceDN/>
      <w:adjustRightInd/>
      <w:snapToGrid/>
      <w:ind w:left="720"/>
    </w:pPr>
    <w:rPr>
      <w:rFonts w:eastAsia="Calibri"/>
    </w:rPr>
  </w:style>
  <w:style w:type="paragraph" w:customStyle="1" w:styleId="APALevel3">
    <w:name w:val="APA Level 3"/>
    <w:basedOn w:val="BodyText"/>
    <w:next w:val="BodyText"/>
    <w:link w:val="APALevel3Char"/>
    <w:qFormat/>
    <w:rsid w:val="0014449B"/>
    <w:pPr>
      <w:keepNext/>
      <w:keepLines/>
      <w:ind w:firstLine="0"/>
    </w:pPr>
    <w:rPr>
      <w:b/>
      <w:bCs/>
      <w:i/>
    </w:rPr>
  </w:style>
  <w:style w:type="character" w:customStyle="1" w:styleId="APALevel3Char">
    <w:name w:val="APA Level 3 Char"/>
    <w:link w:val="APALevel3"/>
    <w:rsid w:val="0014449B"/>
    <w:rPr>
      <w:b/>
      <w:bCs/>
      <w:i/>
      <w:sz w:val="24"/>
      <w:szCs w:val="24"/>
    </w:rPr>
  </w:style>
  <w:style w:type="paragraph" w:customStyle="1" w:styleId="APALevel4">
    <w:name w:val="APA Level 4"/>
    <w:basedOn w:val="BodyText"/>
    <w:next w:val="BodyText"/>
    <w:link w:val="APALevel4Char"/>
    <w:qFormat/>
    <w:rsid w:val="00EB2DF4"/>
    <w:rPr>
      <w:b/>
      <w:iCs/>
    </w:rPr>
  </w:style>
  <w:style w:type="character" w:customStyle="1" w:styleId="APALevel4Char">
    <w:name w:val="APA Level 4 Char"/>
    <w:link w:val="APALevel4"/>
    <w:rsid w:val="00EB2DF4"/>
    <w:rPr>
      <w:b/>
      <w:iCs/>
      <w:sz w:val="24"/>
      <w:szCs w:val="24"/>
    </w:rPr>
  </w:style>
  <w:style w:type="character" w:styleId="FootnoteReference">
    <w:name w:val="footnote reference"/>
    <w:uiPriority w:val="99"/>
    <w:semiHidden/>
    <w:rsid w:val="00F23D46"/>
    <w:rPr>
      <w:vertAlign w:val="superscript"/>
    </w:rPr>
  </w:style>
  <w:style w:type="paragraph" w:styleId="FootnoteText">
    <w:name w:val="footnote text"/>
    <w:basedOn w:val="Normal"/>
    <w:link w:val="FootnoteTextChar"/>
    <w:uiPriority w:val="99"/>
    <w:semiHidden/>
    <w:rsid w:val="00F23D46"/>
    <w:pPr>
      <w:autoSpaceDE/>
      <w:autoSpaceDN/>
      <w:adjustRightInd/>
      <w:snapToGrid/>
    </w:pPr>
  </w:style>
  <w:style w:type="character" w:customStyle="1" w:styleId="FootnoteTextChar">
    <w:name w:val="Footnote Text Char"/>
    <w:link w:val="FootnoteText"/>
    <w:uiPriority w:val="99"/>
    <w:semiHidden/>
    <w:rsid w:val="00F23D46"/>
    <w:rPr>
      <w:sz w:val="24"/>
      <w:szCs w:val="24"/>
    </w:rPr>
  </w:style>
  <w:style w:type="character" w:customStyle="1" w:styleId="Hyperlink2">
    <w:name w:val="Hyperlink.2"/>
    <w:semiHidden/>
    <w:rsid w:val="00A735C2"/>
  </w:style>
  <w:style w:type="paragraph" w:styleId="NormalWeb">
    <w:name w:val="Normal (Web)"/>
    <w:basedOn w:val="Normal"/>
    <w:uiPriority w:val="99"/>
    <w:semiHidden/>
    <w:rsid w:val="00F23D46"/>
    <w:pPr>
      <w:autoSpaceDE/>
      <w:autoSpaceDN/>
      <w:adjustRightInd/>
      <w:snapToGrid/>
      <w:spacing w:before="100" w:beforeAutospacing="1" w:after="100" w:afterAutospacing="1"/>
    </w:pPr>
  </w:style>
  <w:style w:type="paragraph" w:customStyle="1" w:styleId="TableCaption">
    <w:name w:val="Table Caption"/>
    <w:basedOn w:val="Caption"/>
    <w:uiPriority w:val="99"/>
    <w:semiHidden/>
    <w:rsid w:val="00F23D46"/>
    <w:pPr>
      <w:suppressAutoHyphens/>
      <w:spacing w:before="720" w:after="120"/>
    </w:pPr>
    <w:rPr>
      <w:b/>
      <w:bCs w:val="0"/>
      <w:szCs w:val="24"/>
    </w:rPr>
  </w:style>
  <w:style w:type="paragraph" w:customStyle="1" w:styleId="TableNumber">
    <w:name w:val="Table Number"/>
    <w:basedOn w:val="FlushLeft"/>
    <w:next w:val="FlushLeft"/>
    <w:link w:val="TableNumberChar"/>
    <w:autoRedefine/>
    <w:semiHidden/>
    <w:qFormat/>
    <w:rsid w:val="00F23D46"/>
    <w:pPr>
      <w:keepNext/>
      <w:keepLines/>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uppressAutoHyphens/>
    </w:pPr>
    <w:rPr>
      <w:iCs/>
    </w:rPr>
  </w:style>
  <w:style w:type="character" w:customStyle="1" w:styleId="TableNumberChar">
    <w:name w:val="Table Number Char"/>
    <w:link w:val="TableNumber"/>
    <w:semiHidden/>
    <w:locked/>
    <w:rsid w:val="00F23D46"/>
    <w:rPr>
      <w:iCs/>
      <w:sz w:val="24"/>
      <w:szCs w:val="24"/>
    </w:rPr>
  </w:style>
  <w:style w:type="paragraph" w:styleId="Revision">
    <w:name w:val="Revision"/>
    <w:hidden/>
    <w:uiPriority w:val="71"/>
    <w:rsid w:val="00F23D46"/>
    <w:rPr>
      <w:sz w:val="24"/>
      <w:szCs w:val="24"/>
    </w:rPr>
  </w:style>
  <w:style w:type="paragraph" w:customStyle="1" w:styleId="TableHeadingTitle">
    <w:name w:val="Table Heading Title"/>
    <w:basedOn w:val="FlushLeft"/>
    <w:uiPriority w:val="99"/>
    <w:semiHidden/>
    <w:rsid w:val="00F23D46"/>
    <w:pPr>
      <w:keepNext/>
      <w:keepLines/>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uppressAutoHyphens/>
      <w:spacing w:before="240" w:line="240" w:lineRule="auto"/>
    </w:pPr>
    <w:rPr>
      <w:i/>
      <w:iCs/>
    </w:rPr>
  </w:style>
  <w:style w:type="character" w:customStyle="1" w:styleId="Style1">
    <w:name w:val="Style1"/>
    <w:uiPriority w:val="99"/>
    <w:semiHidden/>
    <w:qFormat/>
    <w:rsid w:val="00F23D46"/>
    <w:rPr>
      <w:i/>
      <w:iCs/>
    </w:rPr>
  </w:style>
  <w:style w:type="character" w:styleId="Emphasis">
    <w:name w:val="Emphasis"/>
    <w:semiHidden/>
    <w:rsid w:val="00F23D46"/>
    <w:rPr>
      <w:i/>
      <w:iCs/>
    </w:rPr>
  </w:style>
  <w:style w:type="paragraph" w:customStyle="1" w:styleId="NormalDouble">
    <w:name w:val="Normal Double"/>
    <w:basedOn w:val="Normal"/>
    <w:link w:val="NormalDoubleChar"/>
    <w:semiHidden/>
    <w:rsid w:val="00F23D46"/>
    <w:pPr>
      <w:autoSpaceDE/>
      <w:autoSpaceDN/>
      <w:adjustRightInd/>
      <w:snapToGrid/>
      <w:spacing w:line="480" w:lineRule="auto"/>
    </w:pPr>
    <w:rPr>
      <w:szCs w:val="20"/>
    </w:rPr>
  </w:style>
  <w:style w:type="character" w:customStyle="1" w:styleId="NormalDoubleChar">
    <w:name w:val="Normal Double Char"/>
    <w:link w:val="NormalDouble"/>
    <w:semiHidden/>
    <w:rsid w:val="00F23D46"/>
    <w:rPr>
      <w:sz w:val="24"/>
    </w:rPr>
  </w:style>
  <w:style w:type="paragraph" w:customStyle="1" w:styleId="BodyTextIndentfirstline">
    <w:name w:val="Body Text Indent first line"/>
    <w:basedOn w:val="Normal"/>
    <w:next w:val="Normal"/>
    <w:link w:val="BodyTextIndentfirstlineChar"/>
    <w:semiHidden/>
    <w:rsid w:val="00F23D46"/>
    <w:pPr>
      <w:suppressAutoHyphens/>
      <w:autoSpaceDE/>
      <w:autoSpaceDN/>
      <w:adjustRightInd/>
      <w:snapToGrid/>
      <w:spacing w:line="480" w:lineRule="auto"/>
      <w:ind w:firstLine="720"/>
    </w:pPr>
    <w:rPr>
      <w:szCs w:val="20"/>
      <w:lang w:eastAsia="ar-SA"/>
    </w:rPr>
  </w:style>
  <w:style w:type="character" w:customStyle="1" w:styleId="BodyTextIndentfirstlineChar">
    <w:name w:val="Body Text Indent first line Char"/>
    <w:link w:val="BodyTextIndentfirstline"/>
    <w:semiHidden/>
    <w:rsid w:val="00F23D46"/>
    <w:rPr>
      <w:sz w:val="24"/>
      <w:lang w:eastAsia="ar-SA"/>
    </w:rPr>
  </w:style>
  <w:style w:type="paragraph" w:customStyle="1" w:styleId="Level1">
    <w:name w:val="Level 1"/>
    <w:basedOn w:val="Normal"/>
    <w:semiHidden/>
    <w:rsid w:val="00F23D46"/>
    <w:pPr>
      <w:suppressAutoHyphens/>
      <w:autoSpaceDE/>
      <w:autoSpaceDN/>
      <w:adjustRightInd/>
      <w:snapToGrid/>
      <w:spacing w:line="480" w:lineRule="auto"/>
      <w:jc w:val="center"/>
    </w:pPr>
    <w:rPr>
      <w:lang w:eastAsia="ar-SA"/>
    </w:rPr>
  </w:style>
  <w:style w:type="paragraph" w:customStyle="1" w:styleId="ColorfulList-Accent111">
    <w:name w:val="Colorful List - Accent 111"/>
    <w:basedOn w:val="Normal"/>
    <w:uiPriority w:val="34"/>
    <w:semiHidden/>
    <w:qFormat/>
    <w:rsid w:val="00F23D46"/>
    <w:pPr>
      <w:autoSpaceDE/>
      <w:autoSpaceDN/>
      <w:adjustRightInd/>
      <w:snapToGrid/>
      <w:ind w:left="720"/>
    </w:pPr>
    <w:rPr>
      <w:rFonts w:eastAsia="Calibri"/>
    </w:rPr>
  </w:style>
  <w:style w:type="character" w:styleId="UnresolvedMention">
    <w:name w:val="Unresolved Mention"/>
    <w:uiPriority w:val="99"/>
    <w:semiHidden/>
    <w:unhideWhenUsed/>
    <w:rsid w:val="003C05E7"/>
    <w:rPr>
      <w:color w:val="605E5C"/>
      <w:shd w:val="clear" w:color="auto" w:fill="E1DFDD"/>
    </w:rPr>
  </w:style>
  <w:style w:type="paragraph" w:styleId="ListParagraph">
    <w:name w:val="List Paragraph"/>
    <w:aliases w:val="APA Normal,Paragraph"/>
    <w:basedOn w:val="Normal"/>
    <w:link w:val="ListParagraphChar"/>
    <w:qFormat/>
    <w:rsid w:val="0026034C"/>
    <w:pPr>
      <w:autoSpaceDE/>
      <w:autoSpaceDN/>
      <w:adjustRightInd/>
      <w:snapToGrid/>
      <w:ind w:left="720"/>
      <w:contextualSpacing/>
    </w:pPr>
    <w:rPr>
      <w:rFonts w:eastAsia="Cambria"/>
    </w:rPr>
  </w:style>
  <w:style w:type="character" w:customStyle="1" w:styleId="ListParagraphChar">
    <w:name w:val="List Paragraph Char"/>
    <w:aliases w:val="APA Normal Char,Paragraph Char"/>
    <w:link w:val="ListParagraph"/>
    <w:rsid w:val="009116CD"/>
    <w:rPr>
      <w:rFonts w:eastAsia="Cambria"/>
      <w:sz w:val="24"/>
      <w:szCs w:val="24"/>
    </w:rPr>
  </w:style>
  <w:style w:type="paragraph" w:styleId="Title">
    <w:name w:val="Title"/>
    <w:basedOn w:val="Normal"/>
    <w:next w:val="Normal"/>
    <w:link w:val="TitleChar"/>
    <w:uiPriority w:val="10"/>
    <w:qFormat/>
    <w:rsid w:val="000C625F"/>
    <w:pPr>
      <w:autoSpaceDE/>
      <w:autoSpaceDN/>
      <w:adjustRightInd/>
      <w:snapToGrid/>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625F"/>
    <w:rPr>
      <w:rFonts w:asciiTheme="majorHAnsi" w:eastAsiaTheme="majorEastAsia" w:hAnsiTheme="majorHAnsi" w:cstheme="majorBidi"/>
      <w:spacing w:val="-10"/>
      <w:kern w:val="28"/>
      <w:sz w:val="56"/>
      <w:szCs w:val="56"/>
    </w:rPr>
  </w:style>
  <w:style w:type="table" w:customStyle="1" w:styleId="TableGrid1">
    <w:name w:val="Table Grid1"/>
    <w:basedOn w:val="TableNormal"/>
    <w:next w:val="TableGrid"/>
    <w:uiPriority w:val="39"/>
    <w:rsid w:val="00503D2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C80CF6"/>
    <w:rPr>
      <w:b/>
      <w:bCs/>
    </w:rPr>
  </w:style>
  <w:style w:type="paragraph" w:styleId="NoSpacing">
    <w:name w:val="No Spacing"/>
    <w:uiPriority w:val="1"/>
    <w:qFormat/>
    <w:rsid w:val="002A4EF2"/>
    <w:rPr>
      <w:rFonts w:ascii="Arial" w:eastAsia="Arial" w:hAnsi="Arial" w:cs="Arial"/>
      <w:sz w:val="22"/>
      <w:szCs w:val="22"/>
      <w:lang w:val="en"/>
    </w:rPr>
  </w:style>
  <w:style w:type="character" w:customStyle="1" w:styleId="apple-converted-space">
    <w:name w:val="apple-converted-space"/>
    <w:basedOn w:val="DefaultParagraphFont"/>
    <w:rsid w:val="00CF2D19"/>
  </w:style>
  <w:style w:type="paragraph" w:customStyle="1" w:styleId="p1">
    <w:name w:val="p1"/>
    <w:basedOn w:val="Normal"/>
    <w:rsid w:val="00CF2D19"/>
    <w:pPr>
      <w:autoSpaceDE/>
      <w:autoSpaceDN/>
      <w:adjustRightInd/>
      <w:snapToGrid/>
      <w:spacing w:after="160" w:line="278" w:lineRule="auto"/>
    </w:pPr>
    <w:rPr>
      <w:rFonts w:ascii="Helvetica" w:eastAsiaTheme="minorEastAsia" w:hAnsi="Helvetica" w:cstheme="minorBidi"/>
      <w:color w:val="000000"/>
      <w:kern w:val="2"/>
      <w:sz w:val="12"/>
      <w:szCs w:val="12"/>
      <w14:ligatures w14:val="standardContextual"/>
    </w:rPr>
  </w:style>
  <w:style w:type="paragraph" w:customStyle="1" w:styleId="p2">
    <w:name w:val="p2"/>
    <w:basedOn w:val="Normal"/>
    <w:rsid w:val="00CF2D19"/>
    <w:pPr>
      <w:autoSpaceDE/>
      <w:autoSpaceDN/>
      <w:adjustRightInd/>
      <w:snapToGrid/>
      <w:spacing w:after="160" w:line="278" w:lineRule="auto"/>
    </w:pPr>
    <w:rPr>
      <w:rFonts w:ascii="Helvetica" w:eastAsiaTheme="minorEastAsia" w:hAnsi="Helvetica" w:cstheme="minorBidi"/>
      <w:color w:val="000000"/>
      <w:kern w:val="2"/>
      <w:sz w:val="12"/>
      <w:szCs w:val="12"/>
      <w14:ligatures w14:val="standardContextual"/>
    </w:rPr>
  </w:style>
  <w:style w:type="character" w:customStyle="1" w:styleId="s1">
    <w:name w:val="s1"/>
    <w:basedOn w:val="DefaultParagraphFont"/>
    <w:rsid w:val="00CF2D19"/>
    <w:rPr>
      <w:rFonts w:ascii="Helvetica" w:hAnsi="Helvetica" w:hint="default"/>
      <w:sz w:val="12"/>
      <w:szCs w:val="12"/>
    </w:rPr>
  </w:style>
  <w:style w:type="table" w:styleId="GridTable1Light">
    <w:name w:val="Grid Table 1 Light"/>
    <w:basedOn w:val="TableNormal"/>
    <w:uiPriority w:val="46"/>
    <w:rsid w:val="00CF2D19"/>
    <w:rPr>
      <w:rFonts w:asciiTheme="minorHAnsi" w:eastAsiaTheme="minorHAnsi" w:hAnsiTheme="minorHAnsi" w:cstheme="minorBidi"/>
      <w:kern w:val="2"/>
      <w:sz w:val="24"/>
      <w:szCs w:val="24"/>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CF2D19"/>
    <w:rPr>
      <w:rFonts w:asciiTheme="minorHAnsi" w:eastAsiaTheme="minorHAnsi" w:hAnsiTheme="minorHAnsi" w:cstheme="minorBidi"/>
      <w:kern w:val="2"/>
      <w:sz w:val="24"/>
      <w:szCs w:val="24"/>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whitespace-normal">
    <w:name w:val="whitespace-normal"/>
    <w:basedOn w:val="DefaultParagraphFont"/>
    <w:rsid w:val="008B6812"/>
  </w:style>
  <w:style w:type="paragraph" w:styleId="Bibliography">
    <w:name w:val="Bibliography"/>
    <w:basedOn w:val="Normal"/>
    <w:next w:val="Normal"/>
    <w:uiPriority w:val="70"/>
    <w:rsid w:val="00345372"/>
  </w:style>
  <w:style w:type="paragraph" w:styleId="BodyText2">
    <w:name w:val="Body Text 2"/>
    <w:basedOn w:val="Normal"/>
    <w:link w:val="BodyText2Char"/>
    <w:semiHidden/>
    <w:rsid w:val="00345372"/>
    <w:pPr>
      <w:spacing w:after="120" w:line="480" w:lineRule="auto"/>
    </w:pPr>
  </w:style>
  <w:style w:type="character" w:customStyle="1" w:styleId="BodyText2Char">
    <w:name w:val="Body Text 2 Char"/>
    <w:basedOn w:val="DefaultParagraphFont"/>
    <w:link w:val="BodyText2"/>
    <w:semiHidden/>
    <w:rsid w:val="00345372"/>
    <w:rPr>
      <w:sz w:val="24"/>
      <w:szCs w:val="24"/>
    </w:rPr>
  </w:style>
  <w:style w:type="paragraph" w:styleId="BodyText3">
    <w:name w:val="Body Text 3"/>
    <w:basedOn w:val="Normal"/>
    <w:link w:val="BodyText3Char"/>
    <w:semiHidden/>
    <w:rsid w:val="00345372"/>
    <w:pPr>
      <w:spacing w:after="120"/>
    </w:pPr>
    <w:rPr>
      <w:sz w:val="16"/>
      <w:szCs w:val="16"/>
    </w:rPr>
  </w:style>
  <w:style w:type="character" w:customStyle="1" w:styleId="BodyText3Char">
    <w:name w:val="Body Text 3 Char"/>
    <w:basedOn w:val="DefaultParagraphFont"/>
    <w:link w:val="BodyText3"/>
    <w:semiHidden/>
    <w:rsid w:val="00345372"/>
    <w:rPr>
      <w:sz w:val="16"/>
      <w:szCs w:val="16"/>
    </w:rPr>
  </w:style>
  <w:style w:type="paragraph" w:styleId="BodyTextFirstIndent">
    <w:name w:val="Body Text First Indent"/>
    <w:basedOn w:val="BodyText"/>
    <w:link w:val="BodyTextFirstIndentChar"/>
    <w:semiHidden/>
    <w:rsid w:val="00345372"/>
    <w:pPr>
      <w:spacing w:line="240" w:lineRule="auto"/>
      <w:ind w:firstLine="360"/>
    </w:pPr>
  </w:style>
  <w:style w:type="character" w:customStyle="1" w:styleId="BodyTextFirstIndentChar">
    <w:name w:val="Body Text First Indent Char"/>
    <w:basedOn w:val="BodyTextChar"/>
    <w:link w:val="BodyTextFirstIndent"/>
    <w:semiHidden/>
    <w:rsid w:val="00345372"/>
    <w:rPr>
      <w:sz w:val="24"/>
      <w:szCs w:val="24"/>
    </w:rPr>
  </w:style>
  <w:style w:type="paragraph" w:styleId="BodyTextIndent">
    <w:name w:val="Body Text Indent"/>
    <w:basedOn w:val="Normal"/>
    <w:link w:val="BodyTextIndentChar"/>
    <w:semiHidden/>
    <w:rsid w:val="00345372"/>
    <w:pPr>
      <w:spacing w:after="120"/>
      <w:ind w:left="360"/>
    </w:pPr>
  </w:style>
  <w:style w:type="character" w:customStyle="1" w:styleId="BodyTextIndentChar">
    <w:name w:val="Body Text Indent Char"/>
    <w:basedOn w:val="DefaultParagraphFont"/>
    <w:link w:val="BodyTextIndent"/>
    <w:semiHidden/>
    <w:rsid w:val="00345372"/>
    <w:rPr>
      <w:sz w:val="24"/>
      <w:szCs w:val="24"/>
    </w:rPr>
  </w:style>
  <w:style w:type="paragraph" w:styleId="BodyTextFirstIndent2">
    <w:name w:val="Body Text First Indent 2"/>
    <w:basedOn w:val="BodyTextIndent"/>
    <w:link w:val="BodyTextFirstIndent2Char"/>
    <w:semiHidden/>
    <w:rsid w:val="00345372"/>
    <w:pPr>
      <w:spacing w:after="0"/>
      <w:ind w:firstLine="360"/>
    </w:pPr>
  </w:style>
  <w:style w:type="character" w:customStyle="1" w:styleId="BodyTextFirstIndent2Char">
    <w:name w:val="Body Text First Indent 2 Char"/>
    <w:basedOn w:val="BodyTextIndentChar"/>
    <w:link w:val="BodyTextFirstIndent2"/>
    <w:semiHidden/>
    <w:rsid w:val="00345372"/>
    <w:rPr>
      <w:sz w:val="24"/>
      <w:szCs w:val="24"/>
    </w:rPr>
  </w:style>
  <w:style w:type="paragraph" w:styleId="BodyTextIndent2">
    <w:name w:val="Body Text Indent 2"/>
    <w:basedOn w:val="Normal"/>
    <w:link w:val="BodyTextIndent2Char"/>
    <w:semiHidden/>
    <w:rsid w:val="00345372"/>
    <w:pPr>
      <w:spacing w:after="120" w:line="480" w:lineRule="auto"/>
      <w:ind w:left="360"/>
    </w:pPr>
  </w:style>
  <w:style w:type="character" w:customStyle="1" w:styleId="BodyTextIndent2Char">
    <w:name w:val="Body Text Indent 2 Char"/>
    <w:basedOn w:val="DefaultParagraphFont"/>
    <w:link w:val="BodyTextIndent2"/>
    <w:semiHidden/>
    <w:rsid w:val="00345372"/>
    <w:rPr>
      <w:sz w:val="24"/>
      <w:szCs w:val="24"/>
    </w:rPr>
  </w:style>
  <w:style w:type="paragraph" w:styleId="BodyTextIndent3">
    <w:name w:val="Body Text Indent 3"/>
    <w:basedOn w:val="Normal"/>
    <w:link w:val="BodyTextIndent3Char"/>
    <w:semiHidden/>
    <w:rsid w:val="00345372"/>
    <w:pPr>
      <w:spacing w:after="120"/>
      <w:ind w:left="360"/>
    </w:pPr>
    <w:rPr>
      <w:sz w:val="16"/>
      <w:szCs w:val="16"/>
    </w:rPr>
  </w:style>
  <w:style w:type="character" w:customStyle="1" w:styleId="BodyTextIndent3Char">
    <w:name w:val="Body Text Indent 3 Char"/>
    <w:basedOn w:val="DefaultParagraphFont"/>
    <w:link w:val="BodyTextIndent3"/>
    <w:semiHidden/>
    <w:rsid w:val="00345372"/>
    <w:rPr>
      <w:sz w:val="16"/>
      <w:szCs w:val="16"/>
    </w:rPr>
  </w:style>
  <w:style w:type="paragraph" w:styleId="Closing">
    <w:name w:val="Closing"/>
    <w:basedOn w:val="Normal"/>
    <w:link w:val="ClosingChar"/>
    <w:semiHidden/>
    <w:rsid w:val="00345372"/>
    <w:pPr>
      <w:ind w:left="4320"/>
    </w:pPr>
  </w:style>
  <w:style w:type="character" w:customStyle="1" w:styleId="ClosingChar">
    <w:name w:val="Closing Char"/>
    <w:basedOn w:val="DefaultParagraphFont"/>
    <w:link w:val="Closing"/>
    <w:semiHidden/>
    <w:rsid w:val="00345372"/>
    <w:rPr>
      <w:sz w:val="24"/>
      <w:szCs w:val="24"/>
    </w:rPr>
  </w:style>
  <w:style w:type="paragraph" w:styleId="Date">
    <w:name w:val="Date"/>
    <w:basedOn w:val="Normal"/>
    <w:next w:val="Normal"/>
    <w:link w:val="DateChar"/>
    <w:semiHidden/>
    <w:rsid w:val="00345372"/>
  </w:style>
  <w:style w:type="character" w:customStyle="1" w:styleId="DateChar">
    <w:name w:val="Date Char"/>
    <w:basedOn w:val="DefaultParagraphFont"/>
    <w:link w:val="Date"/>
    <w:semiHidden/>
    <w:rsid w:val="00345372"/>
    <w:rPr>
      <w:sz w:val="24"/>
      <w:szCs w:val="24"/>
    </w:rPr>
  </w:style>
  <w:style w:type="paragraph" w:styleId="DocumentMap">
    <w:name w:val="Document Map"/>
    <w:basedOn w:val="Normal"/>
    <w:link w:val="DocumentMapChar"/>
    <w:semiHidden/>
    <w:rsid w:val="00345372"/>
    <w:rPr>
      <w:rFonts w:ascii="Segoe UI" w:hAnsi="Segoe UI" w:cs="Segoe UI"/>
      <w:sz w:val="16"/>
      <w:szCs w:val="16"/>
    </w:rPr>
  </w:style>
  <w:style w:type="character" w:customStyle="1" w:styleId="DocumentMapChar">
    <w:name w:val="Document Map Char"/>
    <w:basedOn w:val="DefaultParagraphFont"/>
    <w:link w:val="DocumentMap"/>
    <w:semiHidden/>
    <w:rsid w:val="00345372"/>
    <w:rPr>
      <w:rFonts w:ascii="Segoe UI" w:hAnsi="Segoe UI" w:cs="Segoe UI"/>
      <w:sz w:val="16"/>
      <w:szCs w:val="16"/>
    </w:rPr>
  </w:style>
  <w:style w:type="paragraph" w:styleId="E-mailSignature">
    <w:name w:val="E-mail Signature"/>
    <w:basedOn w:val="Normal"/>
    <w:link w:val="E-mailSignatureChar"/>
    <w:semiHidden/>
    <w:rsid w:val="00345372"/>
  </w:style>
  <w:style w:type="character" w:customStyle="1" w:styleId="E-mailSignatureChar">
    <w:name w:val="E-mail Signature Char"/>
    <w:basedOn w:val="DefaultParagraphFont"/>
    <w:link w:val="E-mailSignature"/>
    <w:semiHidden/>
    <w:rsid w:val="00345372"/>
    <w:rPr>
      <w:sz w:val="24"/>
      <w:szCs w:val="24"/>
    </w:rPr>
  </w:style>
  <w:style w:type="paragraph" w:styleId="EndnoteText">
    <w:name w:val="endnote text"/>
    <w:basedOn w:val="Normal"/>
    <w:link w:val="EndnoteTextChar"/>
    <w:semiHidden/>
    <w:rsid w:val="00345372"/>
    <w:rPr>
      <w:sz w:val="20"/>
      <w:szCs w:val="20"/>
    </w:rPr>
  </w:style>
  <w:style w:type="character" w:customStyle="1" w:styleId="EndnoteTextChar">
    <w:name w:val="Endnote Text Char"/>
    <w:basedOn w:val="DefaultParagraphFont"/>
    <w:link w:val="EndnoteText"/>
    <w:semiHidden/>
    <w:rsid w:val="00345372"/>
  </w:style>
  <w:style w:type="paragraph" w:styleId="EnvelopeAddress">
    <w:name w:val="envelope address"/>
    <w:basedOn w:val="Normal"/>
    <w:semiHidden/>
    <w:rsid w:val="00345372"/>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semiHidden/>
    <w:rsid w:val="00345372"/>
    <w:rPr>
      <w:rFonts w:asciiTheme="majorHAnsi" w:eastAsiaTheme="majorEastAsia" w:hAnsiTheme="majorHAnsi" w:cstheme="majorBidi"/>
      <w:sz w:val="20"/>
      <w:szCs w:val="20"/>
    </w:rPr>
  </w:style>
  <w:style w:type="character" w:customStyle="1" w:styleId="Heading5Char">
    <w:name w:val="Heading 5 Char"/>
    <w:basedOn w:val="DefaultParagraphFont"/>
    <w:link w:val="Heading5"/>
    <w:semiHidden/>
    <w:rsid w:val="00345372"/>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semiHidden/>
    <w:rsid w:val="00345372"/>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semiHidden/>
    <w:rsid w:val="00345372"/>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semiHidden/>
    <w:rsid w:val="0034537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345372"/>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semiHidden/>
    <w:rsid w:val="00345372"/>
    <w:rPr>
      <w:i/>
      <w:iCs/>
    </w:rPr>
  </w:style>
  <w:style w:type="character" w:customStyle="1" w:styleId="HTMLAddressChar">
    <w:name w:val="HTML Address Char"/>
    <w:basedOn w:val="DefaultParagraphFont"/>
    <w:link w:val="HTMLAddress"/>
    <w:semiHidden/>
    <w:rsid w:val="00345372"/>
    <w:rPr>
      <w:i/>
      <w:iCs/>
      <w:sz w:val="24"/>
      <w:szCs w:val="24"/>
    </w:rPr>
  </w:style>
  <w:style w:type="paragraph" w:styleId="HTMLPreformatted">
    <w:name w:val="HTML Preformatted"/>
    <w:basedOn w:val="Normal"/>
    <w:link w:val="HTMLPreformattedChar"/>
    <w:semiHidden/>
    <w:rsid w:val="00345372"/>
    <w:rPr>
      <w:rFonts w:ascii="Consolas" w:hAnsi="Consolas"/>
      <w:sz w:val="20"/>
      <w:szCs w:val="20"/>
    </w:rPr>
  </w:style>
  <w:style w:type="character" w:customStyle="1" w:styleId="HTMLPreformattedChar">
    <w:name w:val="HTML Preformatted Char"/>
    <w:basedOn w:val="DefaultParagraphFont"/>
    <w:link w:val="HTMLPreformatted"/>
    <w:semiHidden/>
    <w:rsid w:val="00345372"/>
    <w:rPr>
      <w:rFonts w:ascii="Consolas" w:hAnsi="Consolas"/>
    </w:rPr>
  </w:style>
  <w:style w:type="paragraph" w:styleId="Index1">
    <w:name w:val="index 1"/>
    <w:basedOn w:val="Normal"/>
    <w:next w:val="Normal"/>
    <w:autoRedefine/>
    <w:semiHidden/>
    <w:rsid w:val="00345372"/>
    <w:pPr>
      <w:ind w:left="240" w:hanging="240"/>
    </w:pPr>
  </w:style>
  <w:style w:type="paragraph" w:styleId="Index2">
    <w:name w:val="index 2"/>
    <w:basedOn w:val="Normal"/>
    <w:next w:val="Normal"/>
    <w:autoRedefine/>
    <w:semiHidden/>
    <w:rsid w:val="00345372"/>
    <w:pPr>
      <w:ind w:left="480" w:hanging="240"/>
    </w:pPr>
  </w:style>
  <w:style w:type="paragraph" w:styleId="Index3">
    <w:name w:val="index 3"/>
    <w:basedOn w:val="Normal"/>
    <w:next w:val="Normal"/>
    <w:autoRedefine/>
    <w:semiHidden/>
    <w:rsid w:val="00345372"/>
    <w:pPr>
      <w:ind w:left="720" w:hanging="240"/>
    </w:pPr>
  </w:style>
  <w:style w:type="paragraph" w:styleId="Index4">
    <w:name w:val="index 4"/>
    <w:basedOn w:val="Normal"/>
    <w:next w:val="Normal"/>
    <w:autoRedefine/>
    <w:semiHidden/>
    <w:rsid w:val="00345372"/>
    <w:pPr>
      <w:ind w:left="960" w:hanging="240"/>
    </w:pPr>
  </w:style>
  <w:style w:type="paragraph" w:styleId="Index5">
    <w:name w:val="index 5"/>
    <w:basedOn w:val="Normal"/>
    <w:next w:val="Normal"/>
    <w:autoRedefine/>
    <w:semiHidden/>
    <w:rsid w:val="00345372"/>
    <w:pPr>
      <w:ind w:left="1200" w:hanging="240"/>
    </w:pPr>
  </w:style>
  <w:style w:type="paragraph" w:styleId="Index6">
    <w:name w:val="index 6"/>
    <w:basedOn w:val="Normal"/>
    <w:next w:val="Normal"/>
    <w:autoRedefine/>
    <w:semiHidden/>
    <w:rsid w:val="00345372"/>
    <w:pPr>
      <w:ind w:left="1440" w:hanging="240"/>
    </w:pPr>
  </w:style>
  <w:style w:type="paragraph" w:styleId="Index7">
    <w:name w:val="index 7"/>
    <w:basedOn w:val="Normal"/>
    <w:next w:val="Normal"/>
    <w:autoRedefine/>
    <w:semiHidden/>
    <w:rsid w:val="00345372"/>
    <w:pPr>
      <w:ind w:left="1680" w:hanging="240"/>
    </w:pPr>
  </w:style>
  <w:style w:type="paragraph" w:styleId="Index8">
    <w:name w:val="index 8"/>
    <w:basedOn w:val="Normal"/>
    <w:next w:val="Normal"/>
    <w:autoRedefine/>
    <w:semiHidden/>
    <w:rsid w:val="00345372"/>
    <w:pPr>
      <w:ind w:left="1920" w:hanging="240"/>
    </w:pPr>
  </w:style>
  <w:style w:type="paragraph" w:styleId="Index9">
    <w:name w:val="index 9"/>
    <w:basedOn w:val="Normal"/>
    <w:next w:val="Normal"/>
    <w:autoRedefine/>
    <w:semiHidden/>
    <w:rsid w:val="00345372"/>
    <w:pPr>
      <w:ind w:left="2160" w:hanging="240"/>
    </w:pPr>
  </w:style>
  <w:style w:type="paragraph" w:styleId="IndexHeading">
    <w:name w:val="index heading"/>
    <w:basedOn w:val="Normal"/>
    <w:next w:val="Index1"/>
    <w:semiHidden/>
    <w:rsid w:val="00345372"/>
    <w:rPr>
      <w:rFonts w:asciiTheme="majorHAnsi" w:eastAsiaTheme="majorEastAsia" w:hAnsiTheme="majorHAnsi" w:cstheme="majorBidi"/>
      <w:b/>
      <w:bCs/>
    </w:rPr>
  </w:style>
  <w:style w:type="paragraph" w:styleId="IntenseQuote">
    <w:name w:val="Intense Quote"/>
    <w:basedOn w:val="Normal"/>
    <w:next w:val="Normal"/>
    <w:link w:val="IntenseQuoteChar"/>
    <w:uiPriority w:val="60"/>
    <w:qFormat/>
    <w:rsid w:val="0034537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60"/>
    <w:rsid w:val="00345372"/>
    <w:rPr>
      <w:i/>
      <w:iCs/>
      <w:color w:val="4472C4" w:themeColor="accent1"/>
      <w:sz w:val="24"/>
      <w:szCs w:val="24"/>
    </w:rPr>
  </w:style>
  <w:style w:type="paragraph" w:styleId="List">
    <w:name w:val="List"/>
    <w:basedOn w:val="Normal"/>
    <w:semiHidden/>
    <w:rsid w:val="00345372"/>
    <w:pPr>
      <w:ind w:left="360" w:hanging="360"/>
      <w:contextualSpacing/>
    </w:pPr>
  </w:style>
  <w:style w:type="paragraph" w:styleId="List2">
    <w:name w:val="List 2"/>
    <w:basedOn w:val="Normal"/>
    <w:semiHidden/>
    <w:rsid w:val="00345372"/>
    <w:pPr>
      <w:ind w:left="720" w:hanging="360"/>
      <w:contextualSpacing/>
    </w:pPr>
  </w:style>
  <w:style w:type="paragraph" w:styleId="List3">
    <w:name w:val="List 3"/>
    <w:basedOn w:val="Normal"/>
    <w:semiHidden/>
    <w:rsid w:val="00345372"/>
    <w:pPr>
      <w:ind w:left="1080" w:hanging="360"/>
      <w:contextualSpacing/>
    </w:pPr>
  </w:style>
  <w:style w:type="paragraph" w:styleId="List4">
    <w:name w:val="List 4"/>
    <w:basedOn w:val="Normal"/>
    <w:semiHidden/>
    <w:rsid w:val="00345372"/>
    <w:pPr>
      <w:ind w:left="1440" w:hanging="360"/>
      <w:contextualSpacing/>
    </w:pPr>
  </w:style>
  <w:style w:type="paragraph" w:styleId="List5">
    <w:name w:val="List 5"/>
    <w:basedOn w:val="Normal"/>
    <w:semiHidden/>
    <w:rsid w:val="00345372"/>
    <w:pPr>
      <w:ind w:left="1800" w:hanging="360"/>
      <w:contextualSpacing/>
    </w:pPr>
  </w:style>
  <w:style w:type="paragraph" w:styleId="ListBullet">
    <w:name w:val="List Bullet"/>
    <w:basedOn w:val="Normal"/>
    <w:semiHidden/>
    <w:rsid w:val="00345372"/>
    <w:pPr>
      <w:numPr>
        <w:numId w:val="9"/>
      </w:numPr>
      <w:contextualSpacing/>
    </w:pPr>
  </w:style>
  <w:style w:type="paragraph" w:styleId="ListBullet2">
    <w:name w:val="List Bullet 2"/>
    <w:basedOn w:val="Normal"/>
    <w:semiHidden/>
    <w:rsid w:val="00345372"/>
    <w:pPr>
      <w:numPr>
        <w:numId w:val="10"/>
      </w:numPr>
      <w:contextualSpacing/>
    </w:pPr>
  </w:style>
  <w:style w:type="paragraph" w:styleId="ListBullet3">
    <w:name w:val="List Bullet 3"/>
    <w:basedOn w:val="Normal"/>
    <w:semiHidden/>
    <w:rsid w:val="00345372"/>
    <w:pPr>
      <w:numPr>
        <w:numId w:val="11"/>
      </w:numPr>
      <w:contextualSpacing/>
    </w:pPr>
  </w:style>
  <w:style w:type="paragraph" w:styleId="ListBullet4">
    <w:name w:val="List Bullet 4"/>
    <w:basedOn w:val="Normal"/>
    <w:semiHidden/>
    <w:rsid w:val="00345372"/>
    <w:pPr>
      <w:numPr>
        <w:numId w:val="12"/>
      </w:numPr>
      <w:contextualSpacing/>
    </w:pPr>
  </w:style>
  <w:style w:type="paragraph" w:styleId="ListBullet5">
    <w:name w:val="List Bullet 5"/>
    <w:basedOn w:val="Normal"/>
    <w:semiHidden/>
    <w:rsid w:val="00345372"/>
    <w:pPr>
      <w:numPr>
        <w:numId w:val="13"/>
      </w:numPr>
      <w:contextualSpacing/>
    </w:pPr>
  </w:style>
  <w:style w:type="paragraph" w:styleId="ListContinue">
    <w:name w:val="List Continue"/>
    <w:basedOn w:val="Normal"/>
    <w:semiHidden/>
    <w:rsid w:val="00345372"/>
    <w:pPr>
      <w:spacing w:after="120"/>
      <w:ind w:left="360"/>
      <w:contextualSpacing/>
    </w:pPr>
  </w:style>
  <w:style w:type="paragraph" w:styleId="ListContinue2">
    <w:name w:val="List Continue 2"/>
    <w:basedOn w:val="Normal"/>
    <w:semiHidden/>
    <w:rsid w:val="00345372"/>
    <w:pPr>
      <w:spacing w:after="120"/>
      <w:ind w:left="720"/>
      <w:contextualSpacing/>
    </w:pPr>
  </w:style>
  <w:style w:type="paragraph" w:styleId="ListContinue3">
    <w:name w:val="List Continue 3"/>
    <w:basedOn w:val="Normal"/>
    <w:semiHidden/>
    <w:rsid w:val="00345372"/>
    <w:pPr>
      <w:spacing w:after="120"/>
      <w:ind w:left="1080"/>
      <w:contextualSpacing/>
    </w:pPr>
  </w:style>
  <w:style w:type="paragraph" w:styleId="ListContinue4">
    <w:name w:val="List Continue 4"/>
    <w:basedOn w:val="Normal"/>
    <w:semiHidden/>
    <w:rsid w:val="00345372"/>
    <w:pPr>
      <w:spacing w:after="120"/>
      <w:ind w:left="1440"/>
      <w:contextualSpacing/>
    </w:pPr>
  </w:style>
  <w:style w:type="paragraph" w:styleId="ListContinue5">
    <w:name w:val="List Continue 5"/>
    <w:basedOn w:val="Normal"/>
    <w:semiHidden/>
    <w:rsid w:val="00345372"/>
    <w:pPr>
      <w:spacing w:after="120"/>
      <w:ind w:left="1800"/>
      <w:contextualSpacing/>
    </w:pPr>
  </w:style>
  <w:style w:type="paragraph" w:styleId="ListNumber">
    <w:name w:val="List Number"/>
    <w:basedOn w:val="Normal"/>
    <w:semiHidden/>
    <w:rsid w:val="00345372"/>
    <w:pPr>
      <w:numPr>
        <w:numId w:val="14"/>
      </w:numPr>
      <w:contextualSpacing/>
    </w:pPr>
  </w:style>
  <w:style w:type="paragraph" w:styleId="ListNumber2">
    <w:name w:val="List Number 2"/>
    <w:basedOn w:val="Normal"/>
    <w:semiHidden/>
    <w:rsid w:val="00345372"/>
    <w:pPr>
      <w:numPr>
        <w:numId w:val="15"/>
      </w:numPr>
      <w:contextualSpacing/>
    </w:pPr>
  </w:style>
  <w:style w:type="paragraph" w:styleId="ListNumber3">
    <w:name w:val="List Number 3"/>
    <w:basedOn w:val="Normal"/>
    <w:semiHidden/>
    <w:rsid w:val="00345372"/>
    <w:pPr>
      <w:numPr>
        <w:numId w:val="16"/>
      </w:numPr>
      <w:contextualSpacing/>
    </w:pPr>
  </w:style>
  <w:style w:type="paragraph" w:styleId="ListNumber4">
    <w:name w:val="List Number 4"/>
    <w:basedOn w:val="Normal"/>
    <w:semiHidden/>
    <w:rsid w:val="00345372"/>
    <w:pPr>
      <w:numPr>
        <w:numId w:val="17"/>
      </w:numPr>
      <w:contextualSpacing/>
    </w:pPr>
  </w:style>
  <w:style w:type="paragraph" w:styleId="ListNumber5">
    <w:name w:val="List Number 5"/>
    <w:basedOn w:val="Normal"/>
    <w:semiHidden/>
    <w:rsid w:val="00345372"/>
    <w:pPr>
      <w:numPr>
        <w:numId w:val="18"/>
      </w:numPr>
      <w:contextualSpacing/>
    </w:pPr>
  </w:style>
  <w:style w:type="paragraph" w:styleId="MacroText">
    <w:name w:val="macro"/>
    <w:link w:val="MacroTextChar"/>
    <w:semiHidden/>
    <w:rsid w:val="00345372"/>
    <w:pPr>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napToGrid w:val="0"/>
    </w:pPr>
    <w:rPr>
      <w:rFonts w:ascii="Consolas" w:hAnsi="Consolas"/>
    </w:rPr>
  </w:style>
  <w:style w:type="character" w:customStyle="1" w:styleId="MacroTextChar">
    <w:name w:val="Macro Text Char"/>
    <w:basedOn w:val="DefaultParagraphFont"/>
    <w:link w:val="MacroText"/>
    <w:semiHidden/>
    <w:rsid w:val="00345372"/>
    <w:rPr>
      <w:rFonts w:ascii="Consolas" w:hAnsi="Consolas"/>
    </w:rPr>
  </w:style>
  <w:style w:type="paragraph" w:styleId="MessageHeader">
    <w:name w:val="Message Header"/>
    <w:basedOn w:val="Normal"/>
    <w:link w:val="MessageHeaderChar"/>
    <w:semiHidden/>
    <w:rsid w:val="0034537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semiHidden/>
    <w:rsid w:val="00345372"/>
    <w:rPr>
      <w:rFonts w:asciiTheme="majorHAnsi" w:eastAsiaTheme="majorEastAsia" w:hAnsiTheme="majorHAnsi" w:cstheme="majorBidi"/>
      <w:sz w:val="24"/>
      <w:szCs w:val="24"/>
      <w:shd w:val="pct20" w:color="auto" w:fill="auto"/>
    </w:rPr>
  </w:style>
  <w:style w:type="paragraph" w:styleId="NormalIndent">
    <w:name w:val="Normal Indent"/>
    <w:basedOn w:val="Normal"/>
    <w:semiHidden/>
    <w:rsid w:val="00345372"/>
    <w:pPr>
      <w:ind w:left="720"/>
    </w:pPr>
  </w:style>
  <w:style w:type="paragraph" w:styleId="NoteHeading">
    <w:name w:val="Note Heading"/>
    <w:basedOn w:val="Normal"/>
    <w:next w:val="Normal"/>
    <w:link w:val="NoteHeadingChar"/>
    <w:semiHidden/>
    <w:rsid w:val="00345372"/>
  </w:style>
  <w:style w:type="character" w:customStyle="1" w:styleId="NoteHeadingChar">
    <w:name w:val="Note Heading Char"/>
    <w:basedOn w:val="DefaultParagraphFont"/>
    <w:link w:val="NoteHeading"/>
    <w:semiHidden/>
    <w:rsid w:val="00345372"/>
    <w:rPr>
      <w:sz w:val="24"/>
      <w:szCs w:val="24"/>
    </w:rPr>
  </w:style>
  <w:style w:type="paragraph" w:styleId="PlainText">
    <w:name w:val="Plain Text"/>
    <w:basedOn w:val="Normal"/>
    <w:link w:val="PlainTextChar"/>
    <w:semiHidden/>
    <w:rsid w:val="00345372"/>
    <w:rPr>
      <w:rFonts w:ascii="Consolas" w:hAnsi="Consolas"/>
      <w:sz w:val="21"/>
      <w:szCs w:val="21"/>
    </w:rPr>
  </w:style>
  <w:style w:type="character" w:customStyle="1" w:styleId="PlainTextChar">
    <w:name w:val="Plain Text Char"/>
    <w:basedOn w:val="DefaultParagraphFont"/>
    <w:link w:val="PlainText"/>
    <w:semiHidden/>
    <w:rsid w:val="00345372"/>
    <w:rPr>
      <w:rFonts w:ascii="Consolas" w:hAnsi="Consolas"/>
      <w:sz w:val="21"/>
      <w:szCs w:val="21"/>
    </w:rPr>
  </w:style>
  <w:style w:type="paragraph" w:styleId="Quote">
    <w:name w:val="Quote"/>
    <w:basedOn w:val="Normal"/>
    <w:next w:val="Normal"/>
    <w:link w:val="QuoteChar"/>
    <w:uiPriority w:val="73"/>
    <w:qFormat/>
    <w:rsid w:val="0034537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73"/>
    <w:rsid w:val="00345372"/>
    <w:rPr>
      <w:i/>
      <w:iCs/>
      <w:color w:val="404040" w:themeColor="text1" w:themeTint="BF"/>
      <w:sz w:val="24"/>
      <w:szCs w:val="24"/>
    </w:rPr>
  </w:style>
  <w:style w:type="paragraph" w:styleId="Salutation">
    <w:name w:val="Salutation"/>
    <w:basedOn w:val="Normal"/>
    <w:next w:val="Normal"/>
    <w:link w:val="SalutationChar"/>
    <w:semiHidden/>
    <w:rsid w:val="00345372"/>
  </w:style>
  <w:style w:type="character" w:customStyle="1" w:styleId="SalutationChar">
    <w:name w:val="Salutation Char"/>
    <w:basedOn w:val="DefaultParagraphFont"/>
    <w:link w:val="Salutation"/>
    <w:semiHidden/>
    <w:rsid w:val="00345372"/>
    <w:rPr>
      <w:sz w:val="24"/>
      <w:szCs w:val="24"/>
    </w:rPr>
  </w:style>
  <w:style w:type="paragraph" w:styleId="Signature">
    <w:name w:val="Signature"/>
    <w:basedOn w:val="Normal"/>
    <w:link w:val="SignatureChar"/>
    <w:semiHidden/>
    <w:rsid w:val="00345372"/>
    <w:pPr>
      <w:ind w:left="4320"/>
    </w:pPr>
  </w:style>
  <w:style w:type="character" w:customStyle="1" w:styleId="SignatureChar">
    <w:name w:val="Signature Char"/>
    <w:basedOn w:val="DefaultParagraphFont"/>
    <w:link w:val="Signature"/>
    <w:semiHidden/>
    <w:rsid w:val="00345372"/>
    <w:rPr>
      <w:sz w:val="24"/>
      <w:szCs w:val="24"/>
    </w:rPr>
  </w:style>
  <w:style w:type="paragraph" w:styleId="Subtitle">
    <w:name w:val="Subtitle"/>
    <w:basedOn w:val="Normal"/>
    <w:next w:val="Normal"/>
    <w:link w:val="SubtitleChar"/>
    <w:qFormat/>
    <w:rsid w:val="0034537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345372"/>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semiHidden/>
    <w:rsid w:val="00345372"/>
    <w:pPr>
      <w:ind w:left="240" w:hanging="240"/>
    </w:pPr>
  </w:style>
  <w:style w:type="paragraph" w:styleId="TOAHeading">
    <w:name w:val="toa heading"/>
    <w:basedOn w:val="Normal"/>
    <w:next w:val="Normal"/>
    <w:semiHidden/>
    <w:rsid w:val="00345372"/>
    <w:pPr>
      <w:spacing w:before="120"/>
    </w:pPr>
    <w:rPr>
      <w:rFonts w:asciiTheme="majorHAnsi" w:eastAsiaTheme="majorEastAsia" w:hAnsiTheme="majorHAnsi" w:cstheme="majorBidi"/>
      <w:b/>
      <w:bCs/>
    </w:rPr>
  </w:style>
  <w:style w:type="paragraph" w:styleId="TOC5">
    <w:name w:val="toc 5"/>
    <w:basedOn w:val="Normal"/>
    <w:next w:val="Normal"/>
    <w:autoRedefine/>
    <w:semiHidden/>
    <w:rsid w:val="00345372"/>
    <w:pPr>
      <w:spacing w:after="100"/>
      <w:ind w:left="960"/>
    </w:pPr>
  </w:style>
  <w:style w:type="paragraph" w:styleId="TOC6">
    <w:name w:val="toc 6"/>
    <w:basedOn w:val="Normal"/>
    <w:next w:val="Normal"/>
    <w:autoRedefine/>
    <w:semiHidden/>
    <w:rsid w:val="00345372"/>
    <w:pPr>
      <w:spacing w:after="100"/>
      <w:ind w:left="1200"/>
    </w:pPr>
  </w:style>
  <w:style w:type="paragraph" w:styleId="TOC7">
    <w:name w:val="toc 7"/>
    <w:basedOn w:val="Normal"/>
    <w:next w:val="Normal"/>
    <w:autoRedefine/>
    <w:semiHidden/>
    <w:rsid w:val="00345372"/>
    <w:pPr>
      <w:spacing w:after="100"/>
      <w:ind w:left="1440"/>
    </w:pPr>
  </w:style>
  <w:style w:type="paragraph" w:styleId="TOC8">
    <w:name w:val="toc 8"/>
    <w:basedOn w:val="Normal"/>
    <w:next w:val="Normal"/>
    <w:autoRedefine/>
    <w:semiHidden/>
    <w:rsid w:val="00345372"/>
    <w:pPr>
      <w:spacing w:after="100"/>
      <w:ind w:left="1680"/>
    </w:pPr>
  </w:style>
  <w:style w:type="paragraph" w:styleId="TOC9">
    <w:name w:val="toc 9"/>
    <w:basedOn w:val="Normal"/>
    <w:next w:val="Normal"/>
    <w:autoRedefine/>
    <w:semiHidden/>
    <w:rsid w:val="00345372"/>
    <w:pPr>
      <w:spacing w:after="100"/>
      <w:ind w:left="1920"/>
    </w:pPr>
  </w:style>
  <w:style w:type="paragraph" w:styleId="TOCHeading">
    <w:name w:val="TOC Heading"/>
    <w:basedOn w:val="Heading1"/>
    <w:next w:val="Normal"/>
    <w:uiPriority w:val="71"/>
    <w:semiHidden/>
    <w:unhideWhenUsed/>
    <w:qFormat/>
    <w:rsid w:val="00345372"/>
    <w:pPr>
      <w:keepLines/>
      <w:spacing w:after="0"/>
      <w:outlineLvl w:val="9"/>
    </w:pPr>
    <w:rPr>
      <w:rFonts w:asciiTheme="majorHAnsi" w:eastAsiaTheme="majorEastAsia" w:hAnsiTheme="majorHAnsi" w:cstheme="majorBidi"/>
      <w:b w:val="0"/>
      <w:bCs w:val="0"/>
      <w:color w:val="2F5496"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174356">
      <w:bodyDiv w:val="1"/>
      <w:marLeft w:val="0"/>
      <w:marRight w:val="0"/>
      <w:marTop w:val="0"/>
      <w:marBottom w:val="0"/>
      <w:divBdr>
        <w:top w:val="none" w:sz="0" w:space="0" w:color="auto"/>
        <w:left w:val="none" w:sz="0" w:space="0" w:color="auto"/>
        <w:bottom w:val="none" w:sz="0" w:space="0" w:color="auto"/>
        <w:right w:val="none" w:sz="0" w:space="0" w:color="auto"/>
      </w:divBdr>
    </w:div>
    <w:div w:id="1011958180">
      <w:bodyDiv w:val="1"/>
      <w:marLeft w:val="0"/>
      <w:marRight w:val="0"/>
      <w:marTop w:val="0"/>
      <w:marBottom w:val="0"/>
      <w:divBdr>
        <w:top w:val="none" w:sz="0" w:space="0" w:color="auto"/>
        <w:left w:val="none" w:sz="0" w:space="0" w:color="auto"/>
        <w:bottom w:val="none" w:sz="0" w:space="0" w:color="auto"/>
        <w:right w:val="none" w:sz="0" w:space="0" w:color="auto"/>
      </w:divBdr>
    </w:div>
    <w:div w:id="1514801097">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webSettings>
</file>

<file path=word/_rels/document.xml.rels><?xml version="1.0" encoding="UTF-8" standalone="yes"?>
<Relationships xmlns="http://schemas.openxmlformats.org/package/2006/relationships"><Relationship Id="rId26" Type="http://schemas.openxmlformats.org/officeDocument/2006/relationships/hyperlink" Target="https://doi.org/10.3390/ijerph191912036" TargetMode="External"/><Relationship Id="rId117" Type="http://schemas.openxmlformats.org/officeDocument/2006/relationships/footer" Target="footer4.xml"/><Relationship Id="rId21" Type="http://schemas.openxmlformats.org/officeDocument/2006/relationships/hyperlink" Target="https://doi.org/10.1111/jgs.17041" TargetMode="External"/><Relationship Id="rId42" Type="http://schemas.openxmlformats.org/officeDocument/2006/relationships/hyperlink" Target="https://doi.org/10.2196/65546" TargetMode="External"/><Relationship Id="rId47" Type="http://schemas.openxmlformats.org/officeDocument/2006/relationships/hyperlink" Target="https://ibhss.com/index.php/ibhss/article/view/28" TargetMode="External"/><Relationship Id="rId63" Type="http://schemas.openxmlformats.org/officeDocument/2006/relationships/hyperlink" Target="https://medlineplus.gov/genetics/understanding/precisionmedicine/definition/" TargetMode="External"/><Relationship Id="rId68" Type="http://schemas.openxmlformats.org/officeDocument/2006/relationships/hyperlink" Target="https://doi.org/10.1016/j.pec.2022.06.013" TargetMode="External"/><Relationship Id="rId84" Type="http://schemas.openxmlformats.org/officeDocument/2006/relationships/hyperlink" Target="https://doi.org/10.3389/frhs.2022.983217" TargetMode="External"/><Relationship Id="rId89" Type="http://schemas.openxmlformats.org/officeDocument/2006/relationships/hyperlink" Target="https://systemsthinkingalliance.org/brief-history-of-systems-thinking/" TargetMode="External"/><Relationship Id="rId112" Type="http://schemas.openxmlformats.org/officeDocument/2006/relationships/footer" Target="footer2.xml"/><Relationship Id="rId16" Type="http://schemas.openxmlformats.org/officeDocument/2006/relationships/header" Target="header2.xml"/><Relationship Id="rId107" Type="http://schemas.openxmlformats.org/officeDocument/2006/relationships/hyperlink" Target="https://link.springer.com/article/10.1007/s11606-020-06176-4" TargetMode="External"/><Relationship Id="rId11" Type="http://schemas.openxmlformats.org/officeDocument/2006/relationships/comments" Target="comments.xml"/><Relationship Id="rId32" Type="http://schemas.openxmlformats.org/officeDocument/2006/relationships/hyperlink" Target="https://doi.org/10.4212/cjhp.3223" TargetMode="External"/><Relationship Id="rId37" Type="http://schemas.openxmlformats.org/officeDocument/2006/relationships/hyperlink" Target="https://doi.org/10.1016/j.ijcrp.2023.200234" TargetMode="External"/><Relationship Id="rId53" Type="http://schemas.openxmlformats.org/officeDocument/2006/relationships/hyperlink" Target="https://doi.org/10.1177/00469580251321596" TargetMode="External"/><Relationship Id="rId58" Type="http://schemas.openxmlformats.org/officeDocument/2006/relationships/hyperlink" Target="https://doi.org/10.1111/jgs.17373" TargetMode="External"/><Relationship Id="rId74" Type="http://schemas.openxmlformats.org/officeDocument/2006/relationships/hyperlink" Target="https://www.ncbi.nlm.nih.gov/books/NBK556005/" TargetMode="External"/><Relationship Id="rId79" Type="http://schemas.openxmlformats.org/officeDocument/2006/relationships/hyperlink" Target="https://doi.org/10.4046/trd.2022.0148" TargetMode="External"/><Relationship Id="rId102" Type="http://schemas.openxmlformats.org/officeDocument/2006/relationships/hyperlink" Target="https://doi.org/10.3390/app14020675" TargetMode="External"/><Relationship Id="rId5" Type="http://schemas.openxmlformats.org/officeDocument/2006/relationships/numbering" Target="numbering.xml"/><Relationship Id="rId61" Type="http://schemas.openxmlformats.org/officeDocument/2006/relationships/hyperlink" Target="https://www.nachc.org/the-nations-biggest-healthcare-challenge/" TargetMode="External"/><Relationship Id="rId82" Type="http://schemas.openxmlformats.org/officeDocument/2006/relationships/hyperlink" Target="https://doi.org/10.3390/medicina59081401" TargetMode="External"/><Relationship Id="rId90" Type="http://schemas.openxmlformats.org/officeDocument/2006/relationships/hyperlink" Target="https://doi.org/10.2337/dc21-1757" TargetMode="External"/><Relationship Id="rId95" Type="http://schemas.openxmlformats.org/officeDocument/2006/relationships/hyperlink" Target="https://doi.org/10.1186/s12911-021-01584-w" TargetMode="External"/><Relationship Id="rId19" Type="http://schemas.openxmlformats.org/officeDocument/2006/relationships/hyperlink" Target="https://doi.org/10.1136/bmjopen-2022-067468" TargetMode="External"/><Relationship Id="rId14" Type="http://schemas.microsoft.com/office/2018/08/relationships/commentsExtensible" Target="commentsExtensible.xml"/><Relationship Id="rId22" Type="http://schemas.openxmlformats.org/officeDocument/2006/relationships/hyperlink" Target="https://doi.org/10.14218/JERP.2023.00008" TargetMode="External"/><Relationship Id="rId27" Type="http://schemas.openxmlformats.org/officeDocument/2006/relationships/hyperlink" Target="https://doi.org/10.1186/s13063-021-05453-9" TargetMode="External"/><Relationship Id="rId30" Type="http://schemas.openxmlformats.org/officeDocument/2006/relationships/hyperlink" Target="https://doi.org/10.1177/87551225211069001" TargetMode="External"/><Relationship Id="rId35" Type="http://schemas.openxmlformats.org/officeDocument/2006/relationships/hyperlink" Target="https://doi.org/10.3389/fpsyt.2023.1339801" TargetMode="External"/><Relationship Id="rId43" Type="http://schemas.openxmlformats.org/officeDocument/2006/relationships/hyperlink" Target="https://www.ebsco.com/research-starters/history/general-systems-theory" TargetMode="External"/><Relationship Id="rId48" Type="http://schemas.openxmlformats.org/officeDocument/2006/relationships/hyperlink" Target="https://doi.org/10.1016/j.ejim.2023.10.012" TargetMode="External"/><Relationship Id="rId56" Type="http://schemas.openxmlformats.org/officeDocument/2006/relationships/hyperlink" Target="https://www.magellanhealthinsights.com/2024/02/19/prescription-predicament-the-impact-of-rising-drug-costs-on-medication-adherence/" TargetMode="External"/><Relationship Id="rId64" Type="http://schemas.openxmlformats.org/officeDocument/2006/relationships/hyperlink" Target="https://doi.org/10.1097/MLR.0000000000001458" TargetMode="External"/><Relationship Id="rId69" Type="http://schemas.openxmlformats.org/officeDocument/2006/relationships/hyperlink" Target="https://doi.org/10.1080/13696998.2023.2226537" TargetMode="External"/><Relationship Id="rId77" Type="http://schemas.openxmlformats.org/officeDocument/2006/relationships/hyperlink" Target="https://doi.org/10.1007/s44163-024-00128-1" TargetMode="External"/><Relationship Id="rId100" Type="http://schemas.openxmlformats.org/officeDocument/2006/relationships/hyperlink" Target="https://doi.org/10.1007/s11904-021-00568-9" TargetMode="External"/><Relationship Id="rId105" Type="http://schemas.openxmlformats.org/officeDocument/2006/relationships/hyperlink" Target="https://doi.10.1136/bmjopen-2021-051480" TargetMode="External"/><Relationship Id="rId113" Type="http://schemas.openxmlformats.org/officeDocument/2006/relationships/header" Target="header6.xml"/><Relationship Id="rId118"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gh.bmj.com/content/6/Suppl_3/e003755" TargetMode="External"/><Relationship Id="rId72" Type="http://schemas.openxmlformats.org/officeDocument/2006/relationships/hyperlink" Target="https://doi.org/10.2196/18901" TargetMode="External"/><Relationship Id="rId80" Type="http://schemas.openxmlformats.org/officeDocument/2006/relationships/hyperlink" Target="https://doi.org/10.12788/jhm.3513" TargetMode="External"/><Relationship Id="rId85" Type="http://schemas.openxmlformats.org/officeDocument/2006/relationships/hyperlink" Target="https://doi.org/10.1038/s41746-021-00418-3" TargetMode="External"/><Relationship Id="rId93" Type="http://schemas.openxmlformats.org/officeDocument/2006/relationships/hyperlink" Target="https://doi.org/10.1097/MD.0000000000037935" TargetMode="External"/><Relationship Id="rId98" Type="http://schemas.openxmlformats.org/officeDocument/2006/relationships/hyperlink" Target="https://doi.org/10.1038/s41746-021-00458-9" TargetMode="External"/><Relationship Id="rId121" Type="http://schemas.microsoft.com/office/2020/10/relationships/intelligence" Target="intelligence2.xml"/><Relationship Id="rId3" Type="http://schemas.openxmlformats.org/officeDocument/2006/relationships/customXml" Target="../customXml/item3.xml"/><Relationship Id="rId12" Type="http://schemas.microsoft.com/office/2011/relationships/commentsExtended" Target="commentsExtended.xml"/><Relationship Id="rId17" Type="http://schemas.openxmlformats.org/officeDocument/2006/relationships/hyperlink" Target="https://doi.org/10.1080/17437199.2024.2385525" TargetMode="External"/><Relationship Id="rId25" Type="http://schemas.openxmlformats.org/officeDocument/2006/relationships/hyperlink" Target="https://doi.org/10.3389/fpubh.2022.787135" TargetMode="External"/><Relationship Id="rId33" Type="http://schemas.openxmlformats.org/officeDocument/2006/relationships/hyperlink" Target="https://doi.org/10.2196/24893" TargetMode="External"/><Relationship Id="rId38" Type="http://schemas.openxmlformats.org/officeDocument/2006/relationships/hyperlink" Target="https://doi.org/10.1007/s11356-020-11725-9" TargetMode="External"/><Relationship Id="rId46" Type="http://schemas.openxmlformats.org/officeDocument/2006/relationships/hyperlink" Target="https://doi.org/10.1177/02537176241233745" TargetMode="External"/><Relationship Id="rId59" Type="http://schemas.openxmlformats.org/officeDocument/2006/relationships/hyperlink" Target="https://doi.org/10.1038/s41746-020-00362-8" TargetMode="External"/><Relationship Id="rId67" Type="http://schemas.openxmlformats.org/officeDocument/2006/relationships/hyperlink" Target="https://scholarworks.wmich.edu/dissertations/4135/" TargetMode="External"/><Relationship Id="rId103" Type="http://schemas.openxmlformats.org/officeDocument/2006/relationships/hyperlink" Target="https://doi.org/10.3389/fphar.2023.1124297" TargetMode="External"/><Relationship Id="rId108" Type="http://schemas.openxmlformats.org/officeDocument/2006/relationships/hyperlink" Target="https://link.springer.com/article/10.1007/s11606-020-06176-4" TargetMode="External"/><Relationship Id="rId116" Type="http://schemas.openxmlformats.org/officeDocument/2006/relationships/header" Target="header7.xml"/><Relationship Id="rId20" Type="http://schemas.openxmlformats.org/officeDocument/2006/relationships/hyperlink" Target="https://link.springer.com/article/10.1007/s11096-020-01189-9" TargetMode="External"/><Relationship Id="rId41" Type="http://schemas.openxmlformats.org/officeDocument/2006/relationships/hyperlink" Target="https://doi.org/10.1016/j.sapharm.2021.07.008" TargetMode="External"/><Relationship Id="rId54" Type="http://schemas.openxmlformats.org/officeDocument/2006/relationships/hyperlink" Target="https://doi.org/10.3390/ijerph181910213" TargetMode="External"/><Relationship Id="rId62" Type="http://schemas.openxmlformats.org/officeDocument/2006/relationships/hyperlink" Target="https://doi.org/10.3390/pharmacy9020090" TargetMode="External"/><Relationship Id="rId70" Type="http://schemas.openxmlformats.org/officeDocument/2006/relationships/hyperlink" Target="https://www.pgpf.org/article/almost-25-percent-of-healthcare-spending-is-considered-wasteful-heres-why/" TargetMode="External"/><Relationship Id="rId75" Type="http://schemas.openxmlformats.org/officeDocument/2006/relationships/hyperlink" Target="https://doi.org/10.1186/s12875-023-02176-5" TargetMode="External"/><Relationship Id="rId83" Type="http://schemas.openxmlformats.org/officeDocument/2006/relationships/hyperlink" Target="https://doi.org/10.1016/j.ahj.2021.04.011" TargetMode="External"/><Relationship Id="rId88" Type="http://schemas.openxmlformats.org/officeDocument/2006/relationships/hyperlink" Target="https://doi.org/10.3390/s22031192" TargetMode="External"/><Relationship Id="rId91" Type="http://schemas.openxmlformats.org/officeDocument/2006/relationships/hyperlink" Target="https://doi.org/10.1136/bmjgh-2022-010191" TargetMode="External"/><Relationship Id="rId96" Type="http://schemas.openxmlformats.org/officeDocument/2006/relationships/hyperlink" Target="https://doi.org/10.3389/fdgth.2022.1030194" TargetMode="External"/><Relationship Id="rId111"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doi.org/10.18553/jmcp.2022.21270" TargetMode="External"/><Relationship Id="rId28" Type="http://schemas.openxmlformats.org/officeDocument/2006/relationships/hyperlink" Target="https://doi.org/10.1016/j.pec.2021.10.017" TargetMode="External"/><Relationship Id="rId36" Type="http://schemas.openxmlformats.org/officeDocument/2006/relationships/hyperlink" Target="https://pmc.ncbi.nlm.nih.gov/articles/PMC9860467/" TargetMode="External"/><Relationship Id="rId49" Type="http://schemas.openxmlformats.org/officeDocument/2006/relationships/hyperlink" Target="https://doi.org/10.1377/hlthaff.2025.00545" TargetMode="External"/><Relationship Id="rId57" Type="http://schemas.openxmlformats.org/officeDocument/2006/relationships/hyperlink" Target="https://doi.org/10.4274/tjps.galenos.2020.49799" TargetMode="External"/><Relationship Id="rId106" Type="http://schemas.openxmlformats.org/officeDocument/2006/relationships/header" Target="header3.xml"/><Relationship Id="rId114" Type="http://schemas.openxmlformats.org/officeDocument/2006/relationships/footer" Target="footer3.xml"/><Relationship Id="rId119" Type="http://schemas.microsoft.com/office/2011/relationships/people" Target="people.xml"/><Relationship Id="rId10" Type="http://schemas.openxmlformats.org/officeDocument/2006/relationships/endnotes" Target="endnotes.xml"/><Relationship Id="rId31" Type="http://schemas.openxmlformats.org/officeDocument/2006/relationships/hyperlink" Target="https://doi.org/10.1108/JEA-02-2020-0045" TargetMode="External"/><Relationship Id="rId44" Type="http://schemas.openxmlformats.org/officeDocument/2006/relationships/hyperlink" Target="https://doi.org/10.1037/pro0000467" TargetMode="External"/><Relationship Id="rId52" Type="http://schemas.openxmlformats.org/officeDocument/2006/relationships/hyperlink" Target="https://doi.org/10.1016/j.jik.2023.100365" TargetMode="External"/><Relationship Id="rId60" Type="http://schemas.openxmlformats.org/officeDocument/2006/relationships/hyperlink" Target="https://doi.org/10.1016/j.jamda.2023.10.0120" TargetMode="External"/><Relationship Id="rId65" Type="http://schemas.openxmlformats.org/officeDocument/2006/relationships/hyperlink" Target="https://doi.org/10.1038/s41569-023-00972-1" TargetMode="External"/><Relationship Id="rId73" Type="http://schemas.openxmlformats.org/officeDocument/2006/relationships/hyperlink" Target="https://doi.org/10.1155/2021/6632599" TargetMode="External"/><Relationship Id="rId78" Type="http://schemas.openxmlformats.org/officeDocument/2006/relationships/hyperlink" Target="https://doi.org/10.2196/33062" TargetMode="External"/><Relationship Id="rId81" Type="http://schemas.openxmlformats.org/officeDocument/2006/relationships/hyperlink" Target="https://doi.org/10.1080/09500693.2023.2245106" TargetMode="External"/><Relationship Id="rId86" Type="http://schemas.openxmlformats.org/officeDocument/2006/relationships/hyperlink" Target="https://doi.org/10.1177/00207640211008462" TargetMode="External"/><Relationship Id="rId94" Type="http://schemas.openxmlformats.org/officeDocument/2006/relationships/hyperlink" Target="https://doi.org/10.3390/jpm11100975" TargetMode="External"/><Relationship Id="rId99" Type="http://schemas.openxmlformats.org/officeDocument/2006/relationships/hyperlink" Target="https://doi.org/10.1007/s40258-023-00797-6" TargetMode="External"/><Relationship Id="rId101" Type="http://schemas.openxmlformats.org/officeDocument/2006/relationships/hyperlink" Target="https://doi.org/10.1007/s11606-020-06447-0"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hyperlink" Target="https://www.cms.gov/newsroom/press-releases/cms-modernizes-payment-accuracy-significantly-cuts-spending-waste" TargetMode="External"/><Relationship Id="rId39" Type="http://schemas.openxmlformats.org/officeDocument/2006/relationships/hyperlink" Target="https://doi.org/10.1186/s12912-024-02231-1" TargetMode="External"/><Relationship Id="rId109" Type="http://schemas.openxmlformats.org/officeDocument/2006/relationships/header" Target="header4.xml"/><Relationship Id="rId34" Type="http://schemas.openxmlformats.org/officeDocument/2006/relationships/hyperlink" Target="https://doi.org/10.1007/s11606-020-06176-4" TargetMode="External"/><Relationship Id="rId50" Type="http://schemas.openxmlformats.org/officeDocument/2006/relationships/hyperlink" Target="https://doi.org/10.18553/jmcp.2023.29.5.557" TargetMode="External"/><Relationship Id="rId55" Type="http://schemas.openxmlformats.org/officeDocument/2006/relationships/hyperlink" Target="https://doi.org/10.3389/fphar.2021.706289" TargetMode="External"/><Relationship Id="rId76" Type="http://schemas.openxmlformats.org/officeDocument/2006/relationships/hyperlink" Target="https://doi.org/10.1016/j.ijnsa.2022.100079" TargetMode="External"/><Relationship Id="rId97" Type="http://schemas.openxmlformats.org/officeDocument/2006/relationships/hyperlink" Target="https://doi.org/10.2196/27571" TargetMode="External"/><Relationship Id="rId104" Type="http://schemas.openxmlformats.org/officeDocument/2006/relationships/hyperlink" Target="https://doi.org/10.1007/s11606-021-07334-y" TargetMode="External"/><Relationship Id="rId120"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doi.org/10.1016/j.pcad.2020.08.003" TargetMode="External"/><Relationship Id="rId92" Type="http://schemas.openxmlformats.org/officeDocument/2006/relationships/hyperlink" Target="https://doi.org/10.3389/fpsyg.2023.1233925" TargetMode="External"/><Relationship Id="rId2" Type="http://schemas.openxmlformats.org/officeDocument/2006/relationships/customXml" Target="../customXml/item2.xml"/><Relationship Id="rId29" Type="http://schemas.openxmlformats.org/officeDocument/2006/relationships/hyperlink" Target="https://doi.org/10.1186/s12888-022-04120-w" TargetMode="External"/><Relationship Id="rId24" Type="http://schemas.openxmlformats.org/officeDocument/2006/relationships/hyperlink" Target="https://doi.org/10.1186/s12913-023-09904-8" TargetMode="External"/><Relationship Id="rId40" Type="http://schemas.openxmlformats.org/officeDocument/2006/relationships/hyperlink" Target="https://doi.org/10.2196/57652" TargetMode="External"/><Relationship Id="rId45" Type="http://schemas.openxmlformats.org/officeDocument/2006/relationships/hyperlink" Target="https://doi.org/10.1016/j.infoh.2024.05.001" TargetMode="External"/><Relationship Id="rId66" Type="http://schemas.openxmlformats.org/officeDocument/2006/relationships/hyperlink" Target="https://doi.org/10.1016/j.glohj.2021.11.006" TargetMode="External"/><Relationship Id="rId87" Type="http://schemas.openxmlformats.org/officeDocument/2006/relationships/hyperlink" Target="https://doi.org/10.1080/08870446.2022.2144923" TargetMode="External"/><Relationship Id="rId110" Type="http://schemas.openxmlformats.org/officeDocument/2006/relationships/footer" Target="footer1.xml"/><Relationship Id="rId115"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rown\Desktop\Template%20work%20for%20Martha\Ph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811b4f1-f50d-4aa5-9679-d259c0c69a16" xsi:nil="true"/>
    <lcf76f155ced4ddcb4097134ff3c332f xmlns="42faebf3-165a-43d4-a890-254fb0f7676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1979FCEFB13674589D388C9E45B5440" ma:contentTypeVersion="22" ma:contentTypeDescription="Create a new document." ma:contentTypeScope="" ma:versionID="ea86e0ab64245de1d08c9eab7978e2b2">
  <xsd:schema xmlns:xsd="http://www.w3.org/2001/XMLSchema" xmlns:xs="http://www.w3.org/2001/XMLSchema" xmlns:p="http://schemas.microsoft.com/office/2006/metadata/properties" xmlns:ns2="42faebf3-165a-43d4-a890-254fb0f76761" xmlns:ns3="7006420f-a573-481b-b63e-226f188d5fd7" xmlns:ns4="7811b4f1-f50d-4aa5-9679-d259c0c69a16" targetNamespace="http://schemas.microsoft.com/office/2006/metadata/properties" ma:root="true" ma:fieldsID="b15293f4efbdf928f1c4d4f5453e15a9" ns2:_="" ns3:_="" ns4:_="">
    <xsd:import namespace="42faebf3-165a-43d4-a890-254fb0f76761"/>
    <xsd:import namespace="7006420f-a573-481b-b63e-226f188d5fd7"/>
    <xsd:import namespace="7811b4f1-f50d-4aa5-9679-d259c0c69a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faebf3-165a-43d4-a890-254fb0f76761"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internalName="MediaServiceKeyPoints" ma:readOnly="true">
      <xsd:simpleType>
        <xsd:restriction base="dms:Note">
          <xsd:maxLength value="255"/>
        </xsd:restriction>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3ca446d-c166-4ca0-b6cc-4db8fda31d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06420f-a573-481b-b63e-226f188d5fd7" elementFormDefault="qualified">
    <xsd:import namespace="http://schemas.microsoft.com/office/2006/documentManagement/types"/>
    <xsd:import namespace="http://schemas.microsoft.com/office/infopath/2007/PartnerControls"/>
    <xsd:element name="SharedWithUsers" ma:index="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11b4f1-f50d-4aa5-9679-d259c0c69a16"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706d0e3d-37dc-42ed-aa89-d97e2de9b83c}" ma:internalName="TaxCatchAll" ma:showField="CatchAllData" ma:web="7006420f-a573-481b-b63e-226f188d5f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9FDB48-DCC1-41BD-91F5-C9F36E5D298C}">
  <ds:schemaRefs>
    <ds:schemaRef ds:uri="http://schemas.openxmlformats.org/officeDocument/2006/bibliography"/>
  </ds:schemaRefs>
</ds:datastoreItem>
</file>

<file path=customXml/itemProps2.xml><?xml version="1.0" encoding="utf-8"?>
<ds:datastoreItem xmlns:ds="http://schemas.openxmlformats.org/officeDocument/2006/customXml" ds:itemID="{CC31E923-4F07-40D9-99CC-2BC6E397B657}">
  <ds:schemaRefs>
    <ds:schemaRef ds:uri="http://schemas.microsoft.com/sharepoint/v3/contenttype/forms"/>
  </ds:schemaRefs>
</ds:datastoreItem>
</file>

<file path=customXml/itemProps3.xml><?xml version="1.0" encoding="utf-8"?>
<ds:datastoreItem xmlns:ds="http://schemas.openxmlformats.org/officeDocument/2006/customXml" ds:itemID="{B914FFFA-5992-488A-ADAA-78DF1E0A02BA}">
  <ds:schemaRefs>
    <ds:schemaRef ds:uri="http://schemas.microsoft.com/office/2006/metadata/properties"/>
    <ds:schemaRef ds:uri="http://schemas.microsoft.com/office/infopath/2007/PartnerControls"/>
    <ds:schemaRef ds:uri="7811b4f1-f50d-4aa5-9679-d259c0c69a16"/>
    <ds:schemaRef ds:uri="42faebf3-165a-43d4-a890-254fb0f76761"/>
  </ds:schemaRefs>
</ds:datastoreItem>
</file>

<file path=customXml/itemProps4.xml><?xml version="1.0" encoding="utf-8"?>
<ds:datastoreItem xmlns:ds="http://schemas.openxmlformats.org/officeDocument/2006/customXml" ds:itemID="{8B87D427-03EF-4C43-9900-AB4638E7E4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faebf3-165a-43d4-a890-254fb0f76761"/>
    <ds:schemaRef ds:uri="7006420f-a573-481b-b63e-226f188d5fd7"/>
    <ds:schemaRef ds:uri="7811b4f1-f50d-4aa5-9679-d259c0c69a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PhD Template.dotx</Template>
  <TotalTime>332</TotalTime>
  <Pages>100</Pages>
  <Words>21525</Words>
  <Characters>132812</Characters>
  <Application>Microsoft Office Word</Application>
  <DocSecurity>0</DocSecurity>
  <Lines>4427</Lines>
  <Paragraphs>1224</Paragraphs>
  <ScaleCrop>false</ScaleCrop>
  <HeadingPairs>
    <vt:vector size="2" baseType="variant">
      <vt:variant>
        <vt:lpstr>Title</vt:lpstr>
      </vt:variant>
      <vt:variant>
        <vt:i4>1</vt:i4>
      </vt:variant>
    </vt:vector>
  </HeadingPairs>
  <TitlesOfParts>
    <vt:vector size="1" baseType="lpstr">
      <vt:lpstr>DHA Doctoral Study Template, APA 7</vt:lpstr>
    </vt:vector>
  </TitlesOfParts>
  <Company>Laureate</Company>
  <LinksUpToDate>false</LinksUpToDate>
  <CharactersWithSpaces>153113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DHA Doctoral Study Template, APA 7</dc:title>
  <dc:subject/>
  <dc:creator>Walden University;M;Michael Watkins</dc:creator>
  <cp:keywords/>
  <dc:description/>
  <cp:lastModifiedBy>Chris Harrop</cp:lastModifiedBy>
  <cp:revision>22</cp:revision>
  <cp:lastPrinted>2026-10-16T16:50:00Z</cp:lastPrinted>
  <dcterms:created xsi:type="dcterms:W3CDTF">2026-04-15T18:00:00Z</dcterms:created>
  <dcterms:modified xsi:type="dcterms:W3CDTF">2026-10-16T16:52:00Z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0x010100B1979FCEFB13674589D388C9E45B5440</vt:lpwstr>
  </property>
  <property fmtid="{D5CDD505-2E9C-101B-9397-08002B2CF9AE}" pid="3" name="MediaServiceImageTags">
    <vt:lpwstr/>
  </property>
  <property fmtid="{D5CDD505-2E9C-101B-9397-08002B2CF9AE}" pid="4" name="GrammarlyDocumentId">
    <vt:lpwstr>9c7f2e286223888c24d01edac6ccbec902f069270a2d448e259582dbc0b2d3d4</vt:lpwstr>
  </property>
</Properties>
</file>